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EA4AB" w14:textId="71AD1B0E" w:rsidR="003B7BF6" w:rsidRPr="00716F2A" w:rsidRDefault="00F970C8" w:rsidP="00716F2A">
      <w:pPr>
        <w:pStyle w:val="Title"/>
        <w:jc w:val="right"/>
        <w:rPr>
          <w:rFonts w:ascii="Lato" w:hAnsi="Lato" w:cs="Times New Roman (Headings CS)"/>
          <w:i/>
          <w:iCs/>
          <w:caps w:val="0"/>
          <w:color w:val="568F59" w:themeColor="accent3"/>
          <w:sz w:val="54"/>
          <w:szCs w:val="54"/>
        </w:rPr>
      </w:pPr>
      <w:r w:rsidRPr="00716F2A">
        <w:rPr>
          <w:rFonts w:ascii="Lato" w:hAnsi="Lato"/>
          <w:i/>
          <w:iCs/>
          <w:noProof/>
          <w:color w:val="002060"/>
          <w:sz w:val="54"/>
          <w:szCs w:val="54"/>
        </w:rPr>
        <w:drawing>
          <wp:inline distT="0" distB="0" distL="0" distR="0" wp14:anchorId="4B0F0C85" wp14:editId="21D7C8A4">
            <wp:extent cx="5671185" cy="3378200"/>
            <wp:effectExtent l="0" t="0" r="5715" b="0"/>
            <wp:docPr id="1298489461" name="Picture 5" descr="A aerial view of a for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489461" name="Picture 5" descr="A aerial view of a fores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A05" w:rsidRPr="00716F2A">
        <w:rPr>
          <w:rFonts w:ascii="Lato" w:hAnsi="Lato" w:cs="Times New Roman (Headings CS)"/>
          <w:i/>
          <w:iCs/>
          <w:caps w:val="0"/>
          <w:noProof/>
          <w:color w:val="568F59" w:themeColor="accent3"/>
          <w:sz w:val="14"/>
          <w:szCs w:val="14"/>
        </w:rPr>
        <w:drawing>
          <wp:anchor distT="0" distB="0" distL="114300" distR="114300" simplePos="0" relativeHeight="251658240" behindDoc="1" locked="0" layoutInCell="1" allowOverlap="1" wp14:anchorId="2CD48E75" wp14:editId="225D2391">
            <wp:simplePos x="0" y="0"/>
            <wp:positionH relativeFrom="margin">
              <wp:align>right</wp:align>
            </wp:positionH>
            <wp:positionV relativeFrom="paragraph">
              <wp:posOffset>-828675</wp:posOffset>
            </wp:positionV>
            <wp:extent cx="5671185" cy="1040130"/>
            <wp:effectExtent l="0" t="0" r="5715" b="7620"/>
            <wp:wrapNone/>
            <wp:docPr id="139732428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24281" name="Picture 1" descr="A blue background with white tex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2A" w:rsidRPr="00716F2A">
        <w:rPr>
          <w:rFonts w:ascii="Lato" w:hAnsi="Lato" w:cs="Times New Roman (Headings CS)"/>
          <w:i/>
          <w:iCs/>
          <w:caps w:val="0"/>
          <w:color w:val="002060"/>
          <w:sz w:val="14"/>
          <w:szCs w:val="14"/>
        </w:rPr>
        <w:t>Credit: IMF</w:t>
      </w:r>
    </w:p>
    <w:p w14:paraId="1A5B23AD" w14:textId="32F0F2C8" w:rsidR="00F970C8" w:rsidRPr="003B7BF6" w:rsidRDefault="00016972" w:rsidP="003B7BF6">
      <w:pPr>
        <w:pStyle w:val="Title"/>
        <w:ind w:left="7920" w:firstLine="720"/>
        <w:rPr>
          <w:rFonts w:ascii="Lato" w:hAnsi="Lato"/>
          <w:color w:val="002060"/>
          <w:sz w:val="36"/>
          <w:szCs w:val="36"/>
        </w:rPr>
      </w:pPr>
      <w:r w:rsidRPr="003B7BF6">
        <w:rPr>
          <w:rFonts w:ascii="Lato" w:hAnsi="Lato"/>
          <w:color w:val="002060"/>
          <w:sz w:val="36"/>
          <w:szCs w:val="36"/>
        </w:rPr>
        <w:t xml:space="preserve">                   </w:t>
      </w:r>
    </w:p>
    <w:p w14:paraId="0C612CAF" w14:textId="5C3A594A" w:rsidR="00C31A05" w:rsidRPr="003B7BF6" w:rsidRDefault="00C31A05" w:rsidP="00C31A05">
      <w:pPr>
        <w:pStyle w:val="Title"/>
        <w:rPr>
          <w:rFonts w:ascii="Lato" w:hAnsi="Lato"/>
          <w:color w:val="002060"/>
          <w:sz w:val="54"/>
          <w:szCs w:val="54"/>
        </w:rPr>
      </w:pPr>
      <w:r w:rsidRPr="003B7BF6">
        <w:rPr>
          <w:rFonts w:ascii="Lato" w:hAnsi="Lato"/>
          <w:color w:val="002060"/>
          <w:sz w:val="54"/>
          <w:szCs w:val="54"/>
        </w:rPr>
        <w:t xml:space="preserve">lost in </w:t>
      </w:r>
      <w:proofErr w:type="gramStart"/>
      <w:r w:rsidRPr="003B7BF6">
        <w:rPr>
          <w:rFonts w:ascii="Lato" w:hAnsi="Lato"/>
          <w:color w:val="002060"/>
          <w:sz w:val="54"/>
          <w:szCs w:val="54"/>
        </w:rPr>
        <w:t>transition</w:t>
      </w:r>
      <w:r w:rsidR="003B7BF6">
        <w:rPr>
          <w:rFonts w:ascii="Lato" w:hAnsi="Lato"/>
          <w:color w:val="002060"/>
          <w:sz w:val="54"/>
          <w:szCs w:val="54"/>
        </w:rPr>
        <w:t xml:space="preserve"> :</w:t>
      </w:r>
      <w:proofErr w:type="gramEnd"/>
    </w:p>
    <w:p w14:paraId="06FBDC3E" w14:textId="1F5AE8DC" w:rsidR="00C31A05" w:rsidRDefault="002573F0" w:rsidP="00C31A05">
      <w:pPr>
        <w:pStyle w:val="Title"/>
        <w:rPr>
          <w:rFonts w:ascii="Lato" w:hAnsi="Lato"/>
          <w:color w:val="002060"/>
          <w:sz w:val="54"/>
          <w:szCs w:val="54"/>
        </w:rPr>
      </w:pPr>
      <w:r w:rsidRPr="008C743F">
        <w:rPr>
          <w:rFonts w:ascii="Lato" w:hAnsi="Lato"/>
          <w:color w:val="002060"/>
          <w:sz w:val="54"/>
          <w:szCs w:val="54"/>
        </w:rPr>
        <w:t>Current</w:t>
      </w:r>
      <w:r w:rsidR="00C31A05" w:rsidRPr="008C743F">
        <w:rPr>
          <w:rFonts w:ascii="Lato" w:hAnsi="Lato"/>
          <w:color w:val="002060"/>
          <w:sz w:val="54"/>
          <w:szCs w:val="54"/>
        </w:rPr>
        <w:t xml:space="preserve"> challenges of the energy transition</w:t>
      </w:r>
    </w:p>
    <w:p w14:paraId="6D6AAEBA" w14:textId="77777777" w:rsidR="00016972" w:rsidRPr="00F970C8" w:rsidRDefault="00016972" w:rsidP="00C31A05">
      <w:pPr>
        <w:pStyle w:val="Title"/>
        <w:rPr>
          <w:rFonts w:ascii="Lato" w:hAnsi="Lato"/>
          <w:color w:val="002060"/>
          <w:sz w:val="30"/>
          <w:szCs w:val="30"/>
        </w:rPr>
      </w:pPr>
    </w:p>
    <w:p w14:paraId="073CDF83" w14:textId="23D53E49" w:rsidR="00C31A05" w:rsidRPr="008C743F" w:rsidRDefault="00C31A05" w:rsidP="00C31A05">
      <w:pPr>
        <w:pStyle w:val="Subtitle"/>
        <w:rPr>
          <w:rFonts w:ascii="Lato" w:hAnsi="Lato"/>
          <w:color w:val="002060"/>
          <w:sz w:val="36"/>
          <w:szCs w:val="36"/>
        </w:rPr>
      </w:pPr>
      <w:r w:rsidRPr="008C743F">
        <w:rPr>
          <w:rFonts w:ascii="Lato" w:hAnsi="Lato"/>
          <w:color w:val="002060"/>
          <w:sz w:val="36"/>
          <w:szCs w:val="36"/>
        </w:rPr>
        <w:t>Conference</w:t>
      </w:r>
      <w:r w:rsidR="002573F0" w:rsidRPr="008C743F">
        <w:rPr>
          <w:rFonts w:ascii="Lato" w:hAnsi="Lato"/>
          <w:color w:val="002060"/>
          <w:sz w:val="36"/>
          <w:szCs w:val="36"/>
        </w:rPr>
        <w:t xml:space="preserve"> and podcast launch organized</w:t>
      </w:r>
      <w:r w:rsidRPr="008C743F">
        <w:rPr>
          <w:rFonts w:ascii="Lato" w:hAnsi="Lato"/>
          <w:color w:val="002060"/>
          <w:sz w:val="36"/>
          <w:szCs w:val="36"/>
        </w:rPr>
        <w:t xml:space="preserve"> by the </w:t>
      </w:r>
    </w:p>
    <w:p w14:paraId="455765C7" w14:textId="77777777" w:rsidR="00C31A05" w:rsidRPr="008C743F" w:rsidRDefault="00C31A05" w:rsidP="00C31A05">
      <w:pPr>
        <w:pStyle w:val="Subtitle"/>
        <w:rPr>
          <w:rFonts w:ascii="Lato" w:hAnsi="Lato"/>
          <w:color w:val="002060"/>
          <w:sz w:val="36"/>
          <w:szCs w:val="36"/>
        </w:rPr>
      </w:pPr>
      <w:r w:rsidRPr="008C743F">
        <w:rPr>
          <w:rFonts w:ascii="Lato" w:hAnsi="Lato"/>
          <w:color w:val="002060"/>
          <w:sz w:val="36"/>
          <w:szCs w:val="36"/>
        </w:rPr>
        <w:t>IHSS Climate Emergency Working Group (CEWG),</w:t>
      </w:r>
    </w:p>
    <w:p w14:paraId="44E85E2E" w14:textId="77777777" w:rsidR="00C31A05" w:rsidRPr="008C743F" w:rsidRDefault="00C31A05" w:rsidP="00C31A05">
      <w:pPr>
        <w:pStyle w:val="Subtitle"/>
        <w:rPr>
          <w:rFonts w:ascii="Lato" w:hAnsi="Lato"/>
          <w:color w:val="002060"/>
          <w:sz w:val="36"/>
          <w:szCs w:val="36"/>
        </w:rPr>
      </w:pPr>
      <w:r w:rsidRPr="008C743F">
        <w:rPr>
          <w:rFonts w:ascii="Lato" w:hAnsi="Lato"/>
          <w:color w:val="002060"/>
          <w:sz w:val="36"/>
          <w:szCs w:val="36"/>
        </w:rPr>
        <w:t>Queen Mary University of London</w:t>
      </w:r>
    </w:p>
    <w:p w14:paraId="2171F137" w14:textId="77777777" w:rsidR="00C31A05" w:rsidRPr="003B7BF6" w:rsidRDefault="00C31A05" w:rsidP="00C31A05">
      <w:pPr>
        <w:pStyle w:val="Subtitle"/>
        <w:rPr>
          <w:rFonts w:ascii="Lato" w:hAnsi="Lato"/>
          <w:sz w:val="32"/>
          <w:szCs w:val="32"/>
        </w:rPr>
      </w:pPr>
    </w:p>
    <w:p w14:paraId="4EF95284" w14:textId="2B3F910A" w:rsidR="006648D4" w:rsidRPr="008C743F" w:rsidRDefault="00C31A05" w:rsidP="00C31A05">
      <w:pPr>
        <w:pStyle w:val="Date"/>
        <w:spacing w:before="0" w:after="0"/>
        <w:rPr>
          <w:rFonts w:ascii="Lato" w:hAnsi="Lato"/>
          <w:i/>
          <w:iCs/>
          <w:sz w:val="28"/>
          <w:szCs w:val="28"/>
          <w:lang w:val="en-GB"/>
        </w:rPr>
      </w:pPr>
      <w:r w:rsidRPr="008C743F">
        <w:rPr>
          <w:rFonts w:ascii="Lato" w:hAnsi="Lato"/>
          <w:i/>
          <w:iCs/>
          <w:sz w:val="24"/>
          <w:szCs w:val="24"/>
          <w:lang w:val="en-GB"/>
        </w:rPr>
        <w:t xml:space="preserve">Conveners: Tibisay Morgandi, Caterina </w:t>
      </w:r>
      <w:proofErr w:type="spellStart"/>
      <w:r w:rsidRPr="008C743F">
        <w:rPr>
          <w:rFonts w:ascii="Lato" w:hAnsi="Lato"/>
          <w:i/>
          <w:iCs/>
          <w:sz w:val="24"/>
          <w:szCs w:val="24"/>
          <w:lang w:val="en-GB"/>
        </w:rPr>
        <w:t>Gennaioli</w:t>
      </w:r>
      <w:proofErr w:type="spellEnd"/>
      <w:r w:rsidRPr="008C743F">
        <w:rPr>
          <w:rFonts w:ascii="Lato" w:hAnsi="Lato"/>
          <w:i/>
          <w:iCs/>
          <w:sz w:val="24"/>
          <w:szCs w:val="24"/>
          <w:lang w:val="en-GB"/>
        </w:rPr>
        <w:t xml:space="preserve"> &amp; Carlos </w:t>
      </w:r>
      <w:proofErr w:type="spellStart"/>
      <w:r w:rsidRPr="008C743F">
        <w:rPr>
          <w:rFonts w:ascii="Lato" w:hAnsi="Lato"/>
          <w:i/>
          <w:iCs/>
          <w:sz w:val="24"/>
          <w:szCs w:val="24"/>
          <w:lang w:val="en-GB"/>
        </w:rPr>
        <w:t>Bellorin</w:t>
      </w:r>
      <w:proofErr w:type="spellEnd"/>
    </w:p>
    <w:p w14:paraId="5B37C488" w14:textId="77777777" w:rsidR="008C743F" w:rsidRPr="003B7BF6" w:rsidRDefault="008C743F" w:rsidP="006648D4">
      <w:pPr>
        <w:pStyle w:val="Date"/>
        <w:spacing w:before="0" w:after="0"/>
        <w:rPr>
          <w:rFonts w:ascii="Lato" w:hAnsi="Lato"/>
          <w:szCs w:val="32"/>
        </w:rPr>
      </w:pPr>
    </w:p>
    <w:p w14:paraId="0AF49BE4" w14:textId="578D1A53" w:rsidR="00892872" w:rsidRPr="006648D4" w:rsidRDefault="532FDC1A" w:rsidP="006648D4">
      <w:pPr>
        <w:pStyle w:val="Date"/>
        <w:spacing w:before="0" w:after="0"/>
        <w:rPr>
          <w:rFonts w:ascii="Lato" w:hAnsi="Lato"/>
          <w:szCs w:val="32"/>
        </w:rPr>
      </w:pPr>
      <w:r w:rsidRPr="006648D4">
        <w:rPr>
          <w:rFonts w:ascii="Lato" w:hAnsi="Lato"/>
          <w:szCs w:val="32"/>
        </w:rPr>
        <w:t xml:space="preserve">4 December 2023 </w:t>
      </w:r>
    </w:p>
    <w:p w14:paraId="0A0C0EF5" w14:textId="61382DC7" w:rsidR="006648D4" w:rsidRPr="00F970C8" w:rsidRDefault="006648D4" w:rsidP="006648D4">
      <w:pPr>
        <w:pStyle w:val="Date"/>
        <w:spacing w:before="0" w:after="0"/>
        <w:rPr>
          <w:rFonts w:ascii="Lato" w:hAnsi="Lato"/>
          <w:sz w:val="26"/>
        </w:rPr>
      </w:pPr>
      <w:r w:rsidRPr="00F970C8">
        <w:rPr>
          <w:rFonts w:ascii="Lato" w:hAnsi="Lato"/>
          <w:sz w:val="26"/>
        </w:rPr>
        <w:t>IET London: Savoy Place</w:t>
      </w:r>
    </w:p>
    <w:p w14:paraId="0CF7E7BB" w14:textId="30D9163D" w:rsidR="006648D4" w:rsidRPr="00F970C8" w:rsidRDefault="006648D4" w:rsidP="006648D4">
      <w:pPr>
        <w:pStyle w:val="Date"/>
        <w:spacing w:before="0" w:after="0"/>
        <w:rPr>
          <w:rFonts w:ascii="Lato" w:hAnsi="Lato"/>
          <w:sz w:val="26"/>
        </w:rPr>
      </w:pPr>
      <w:r w:rsidRPr="00F970C8">
        <w:rPr>
          <w:rFonts w:ascii="Lato" w:hAnsi="Lato"/>
          <w:sz w:val="26"/>
        </w:rPr>
        <w:t>2 Savoy Place</w:t>
      </w:r>
    </w:p>
    <w:p w14:paraId="1230FA73" w14:textId="77777777" w:rsidR="006648D4" w:rsidRPr="00F970C8" w:rsidRDefault="006648D4" w:rsidP="006648D4">
      <w:pPr>
        <w:pStyle w:val="Date"/>
        <w:spacing w:before="0" w:after="0"/>
        <w:rPr>
          <w:rFonts w:ascii="Lato" w:hAnsi="Lato"/>
          <w:sz w:val="26"/>
        </w:rPr>
      </w:pPr>
      <w:r w:rsidRPr="00F970C8">
        <w:rPr>
          <w:rFonts w:ascii="Lato" w:hAnsi="Lato"/>
          <w:sz w:val="26"/>
        </w:rPr>
        <w:t xml:space="preserve">London </w:t>
      </w:r>
    </w:p>
    <w:p w14:paraId="0F1CD2F9" w14:textId="2652A752" w:rsidR="008F291D" w:rsidRDefault="006648D4" w:rsidP="00F970C8">
      <w:pPr>
        <w:pStyle w:val="Date"/>
        <w:spacing w:before="0" w:after="0"/>
        <w:rPr>
          <w:rFonts w:ascii="Lato" w:hAnsi="Lato"/>
          <w:sz w:val="26"/>
        </w:rPr>
      </w:pPr>
      <w:r w:rsidRPr="00F970C8">
        <w:rPr>
          <w:rFonts w:ascii="Lato" w:hAnsi="Lato"/>
          <w:sz w:val="26"/>
        </w:rPr>
        <w:t xml:space="preserve">WC2R 0BL </w:t>
      </w:r>
    </w:p>
    <w:p w14:paraId="63750A7C" w14:textId="77777777" w:rsidR="00F970C8" w:rsidRPr="003B7BF6" w:rsidRDefault="00F970C8" w:rsidP="00F970C8">
      <w:pPr>
        <w:pStyle w:val="Heading1"/>
        <w:rPr>
          <w:sz w:val="36"/>
          <w:szCs w:val="36"/>
        </w:rPr>
      </w:pPr>
    </w:p>
    <w:p w14:paraId="6E26782A" w14:textId="7BA515BF" w:rsidR="00F61603" w:rsidRDefault="008F291D">
      <w:pPr>
        <w:rPr>
          <w:rFonts w:ascii="Lato" w:hAnsi="Lato"/>
          <w:i/>
          <w:iCs/>
        </w:rPr>
      </w:pPr>
      <w:r w:rsidRPr="00665E83">
        <w:rPr>
          <w:rFonts w:ascii="Lato" w:hAnsi="Lato"/>
          <w:i/>
          <w:iCs/>
        </w:rPr>
        <w:t xml:space="preserve">Please sign up on the </w:t>
      </w:r>
      <w:hyperlink r:id="rId13" w:history="1">
        <w:r w:rsidRPr="00665E83">
          <w:rPr>
            <w:rStyle w:val="Hyperlink"/>
            <w:rFonts w:ascii="Lato" w:hAnsi="Lato"/>
            <w:i/>
            <w:iCs/>
          </w:rPr>
          <w:t>Eventbrite page</w:t>
        </w:r>
      </w:hyperlink>
      <w:r w:rsidR="00255380" w:rsidRPr="00665E83">
        <w:rPr>
          <w:rFonts w:ascii="Lato" w:hAnsi="Lato"/>
          <w:i/>
          <w:iCs/>
        </w:rPr>
        <w:t xml:space="preserve"> to join</w:t>
      </w:r>
      <w:r w:rsidR="00480C93">
        <w:rPr>
          <w:rFonts w:ascii="Lato" w:hAnsi="Lato"/>
          <w:i/>
          <w:iCs/>
        </w:rPr>
        <w:t>.</w:t>
      </w:r>
    </w:p>
    <w:p w14:paraId="42C73A7A" w14:textId="726D8223" w:rsidR="00C66D3D" w:rsidRPr="00665E83" w:rsidRDefault="004E5B73" w:rsidP="00C66D3D">
      <w:pPr>
        <w:pStyle w:val="Heading1"/>
        <w:rPr>
          <w:rFonts w:ascii="Lato" w:hAnsi="Lato"/>
          <w:color w:val="002060"/>
          <w:sz w:val="28"/>
          <w:szCs w:val="28"/>
        </w:rPr>
      </w:pPr>
      <w:r w:rsidRPr="00665E83">
        <w:rPr>
          <w:rFonts w:ascii="Lato" w:hAnsi="Lato"/>
          <w:color w:val="002060"/>
          <w:sz w:val="28"/>
          <w:szCs w:val="28"/>
        </w:rPr>
        <w:lastRenderedPageBreak/>
        <w:t>Concept not</w:t>
      </w:r>
      <w:r w:rsidR="00C66D3D" w:rsidRPr="00665E83">
        <w:rPr>
          <w:rFonts w:ascii="Lato" w:hAnsi="Lato"/>
          <w:color w:val="002060"/>
          <w:sz w:val="28"/>
          <w:szCs w:val="28"/>
        </w:rPr>
        <w:t>E</w:t>
      </w:r>
    </w:p>
    <w:p w14:paraId="4C71539E" w14:textId="1760083A" w:rsidR="005D19C7" w:rsidRDefault="0076257B" w:rsidP="31D8C96D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As the world grapples with the imperative shift towards sustainable energy source</w:t>
      </w:r>
      <w:r w:rsidR="002B57EC">
        <w:rPr>
          <w:rFonts w:ascii="Lato" w:hAnsi="Lato"/>
          <w:sz w:val="24"/>
          <w:szCs w:val="24"/>
        </w:rPr>
        <w:t>s</w:t>
      </w:r>
      <w:r>
        <w:rPr>
          <w:rFonts w:ascii="Lato" w:hAnsi="Lato"/>
          <w:sz w:val="24"/>
          <w:szCs w:val="24"/>
        </w:rPr>
        <w:t xml:space="preserve">, this conference serves as a compass </w:t>
      </w:r>
      <w:r w:rsidR="002B57EC">
        <w:rPr>
          <w:rFonts w:ascii="Lato" w:hAnsi="Lato"/>
          <w:sz w:val="24"/>
          <w:szCs w:val="24"/>
        </w:rPr>
        <w:t xml:space="preserve">for </w:t>
      </w:r>
      <w:r>
        <w:rPr>
          <w:rFonts w:ascii="Lato" w:hAnsi="Lato"/>
          <w:sz w:val="24"/>
          <w:szCs w:val="24"/>
        </w:rPr>
        <w:t xml:space="preserve">navigating the complex </w:t>
      </w:r>
      <w:r w:rsidRPr="00F61603">
        <w:rPr>
          <w:rFonts w:ascii="Lato" w:hAnsi="Lato"/>
          <w:b/>
          <w:bCs/>
          <w:sz w:val="24"/>
          <w:szCs w:val="24"/>
        </w:rPr>
        <w:t>challenges and opportunities of the ongoing energy transition</w:t>
      </w:r>
      <w:r>
        <w:rPr>
          <w:rFonts w:ascii="Lato" w:hAnsi="Lato"/>
          <w:sz w:val="24"/>
          <w:szCs w:val="24"/>
        </w:rPr>
        <w:t xml:space="preserve">. Join leading experts from academia and industry as they unravel the intricacies of this monumental paradigm shift. </w:t>
      </w:r>
    </w:p>
    <w:p w14:paraId="32DC2B77" w14:textId="71418BA6" w:rsidR="0076257B" w:rsidRDefault="001F737B" w:rsidP="31D8C96D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Delve into critical topics such as the role of </w:t>
      </w:r>
      <w:r w:rsidRPr="00F61603">
        <w:rPr>
          <w:rFonts w:ascii="Lato" w:hAnsi="Lato"/>
          <w:b/>
          <w:bCs/>
          <w:sz w:val="24"/>
          <w:szCs w:val="24"/>
        </w:rPr>
        <w:t>oil and gas in the energy transition</w:t>
      </w:r>
      <w:r>
        <w:rPr>
          <w:rFonts w:ascii="Lato" w:hAnsi="Lato"/>
          <w:sz w:val="24"/>
          <w:szCs w:val="24"/>
        </w:rPr>
        <w:t xml:space="preserve">, examining the industry’s evolution and contribution to achieving </w:t>
      </w:r>
      <w:r w:rsidRPr="00F61603">
        <w:rPr>
          <w:rFonts w:ascii="Lato" w:hAnsi="Lato"/>
          <w:b/>
          <w:bCs/>
          <w:sz w:val="24"/>
          <w:szCs w:val="24"/>
        </w:rPr>
        <w:t>net zero</w:t>
      </w:r>
      <w:r>
        <w:rPr>
          <w:rFonts w:ascii="Lato" w:hAnsi="Lato"/>
          <w:sz w:val="24"/>
          <w:szCs w:val="24"/>
        </w:rPr>
        <w:t>.</w:t>
      </w:r>
      <w:r w:rsidR="005D19C7">
        <w:rPr>
          <w:rFonts w:ascii="Lato" w:hAnsi="Lato"/>
          <w:sz w:val="24"/>
          <w:szCs w:val="24"/>
        </w:rPr>
        <w:t xml:space="preserve"> Explore the latest advancements in </w:t>
      </w:r>
      <w:r w:rsidR="005D19C7" w:rsidRPr="00F61603">
        <w:rPr>
          <w:rFonts w:ascii="Lato" w:hAnsi="Lato"/>
          <w:b/>
          <w:bCs/>
          <w:sz w:val="24"/>
          <w:szCs w:val="24"/>
        </w:rPr>
        <w:t>carbon capture and storage</w:t>
      </w:r>
      <w:r w:rsidR="005D19C7">
        <w:rPr>
          <w:rFonts w:ascii="Lato" w:hAnsi="Lato"/>
          <w:sz w:val="24"/>
          <w:szCs w:val="24"/>
        </w:rPr>
        <w:t xml:space="preserve">, essential components in mitigating the impact of greenhouse gas emissions. Understand the growing importance of </w:t>
      </w:r>
      <w:r w:rsidR="005D19C7" w:rsidRPr="00F61603">
        <w:rPr>
          <w:rFonts w:ascii="Lato" w:hAnsi="Lato"/>
          <w:b/>
          <w:bCs/>
          <w:sz w:val="24"/>
          <w:szCs w:val="24"/>
        </w:rPr>
        <w:t xml:space="preserve">ESG </w:t>
      </w:r>
      <w:r w:rsidR="005D25A9">
        <w:rPr>
          <w:rFonts w:ascii="Lato" w:hAnsi="Lato"/>
          <w:b/>
          <w:bCs/>
          <w:sz w:val="24"/>
          <w:szCs w:val="24"/>
        </w:rPr>
        <w:t xml:space="preserve">requirements </w:t>
      </w:r>
      <w:r w:rsidR="005D19C7">
        <w:rPr>
          <w:rFonts w:ascii="Lato" w:hAnsi="Lato"/>
          <w:sz w:val="24"/>
          <w:szCs w:val="24"/>
        </w:rPr>
        <w:t>and their influence on decision-making within the energy sector.</w:t>
      </w:r>
    </w:p>
    <w:p w14:paraId="64715039" w14:textId="0CB0B71D" w:rsidR="005D19C7" w:rsidRDefault="005D19C7" w:rsidP="31D8C96D">
      <w:pPr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Navigate the complex legal landscape surrounding </w:t>
      </w:r>
      <w:r w:rsidRPr="00F61603">
        <w:rPr>
          <w:rFonts w:ascii="Lato" w:hAnsi="Lato"/>
          <w:b/>
          <w:bCs/>
          <w:sz w:val="24"/>
          <w:szCs w:val="24"/>
        </w:rPr>
        <w:t>climate litigation</w:t>
      </w:r>
      <w:r>
        <w:rPr>
          <w:rFonts w:ascii="Lato" w:hAnsi="Lato"/>
          <w:sz w:val="24"/>
          <w:szCs w:val="24"/>
        </w:rPr>
        <w:t xml:space="preserve">, gaining insights into the legal challenges and responsibilities associated with the energy transition. Additionally, </w:t>
      </w:r>
      <w:r w:rsidR="00F61603">
        <w:rPr>
          <w:rFonts w:ascii="Lato" w:hAnsi="Lato"/>
          <w:sz w:val="24"/>
          <w:szCs w:val="24"/>
        </w:rPr>
        <w:t xml:space="preserve">explore the intricate dynamics of </w:t>
      </w:r>
      <w:r w:rsidR="00F61603" w:rsidRPr="00F61603">
        <w:rPr>
          <w:rFonts w:ascii="Lato" w:hAnsi="Lato"/>
          <w:b/>
          <w:bCs/>
          <w:sz w:val="24"/>
          <w:szCs w:val="24"/>
        </w:rPr>
        <w:t>trade and investment in the energy sector</w:t>
      </w:r>
      <w:r w:rsidR="00F61603">
        <w:rPr>
          <w:rFonts w:ascii="Lato" w:hAnsi="Lato"/>
          <w:sz w:val="24"/>
          <w:szCs w:val="24"/>
        </w:rPr>
        <w:t>, understanding how the existing legal frameworks alongside global economic forces shape the transition to a more sustainable future.</w:t>
      </w:r>
    </w:p>
    <w:p w14:paraId="1562EAA2" w14:textId="66D7FC67" w:rsidR="003E054E" w:rsidRDefault="003E054E" w:rsidP="31D8C96D">
      <w:pPr>
        <w:jc w:val="both"/>
        <w:rPr>
          <w:rFonts w:ascii="Lato" w:hAnsi="Lato"/>
          <w:sz w:val="24"/>
          <w:szCs w:val="24"/>
        </w:rPr>
      </w:pPr>
      <w:r w:rsidRPr="003E054E">
        <w:rPr>
          <w:rFonts w:ascii="Lato" w:hAnsi="Lato"/>
          <w:sz w:val="24"/>
          <w:szCs w:val="24"/>
        </w:rPr>
        <w:t>At th</w:t>
      </w:r>
      <w:r w:rsidR="00A201B4">
        <w:rPr>
          <w:rFonts w:ascii="Lato" w:hAnsi="Lato"/>
          <w:sz w:val="24"/>
          <w:szCs w:val="24"/>
        </w:rPr>
        <w:t>e</w:t>
      </w:r>
      <w:r w:rsidRPr="003E054E">
        <w:rPr>
          <w:rFonts w:ascii="Lato" w:hAnsi="Lato"/>
          <w:sz w:val="24"/>
          <w:szCs w:val="24"/>
        </w:rPr>
        <w:t xml:space="preserve"> conference we will also launch our </w:t>
      </w:r>
      <w:proofErr w:type="gramStart"/>
      <w:r w:rsidRPr="003E054E">
        <w:rPr>
          <w:rFonts w:ascii="Lato" w:hAnsi="Lato"/>
          <w:sz w:val="24"/>
          <w:szCs w:val="24"/>
        </w:rPr>
        <w:t>brand</w:t>
      </w:r>
      <w:r w:rsidR="00711D63">
        <w:rPr>
          <w:rFonts w:ascii="Lato" w:hAnsi="Lato"/>
          <w:sz w:val="24"/>
          <w:szCs w:val="24"/>
        </w:rPr>
        <w:t xml:space="preserve"> </w:t>
      </w:r>
      <w:r w:rsidRPr="003E054E">
        <w:rPr>
          <w:rFonts w:ascii="Lato" w:hAnsi="Lato"/>
          <w:sz w:val="24"/>
          <w:szCs w:val="24"/>
        </w:rPr>
        <w:t>new</w:t>
      </w:r>
      <w:proofErr w:type="gramEnd"/>
      <w:r w:rsidRPr="003E054E">
        <w:rPr>
          <w:rFonts w:ascii="Lato" w:hAnsi="Lato"/>
          <w:sz w:val="24"/>
          <w:szCs w:val="24"/>
        </w:rPr>
        <w:t xml:space="preserve"> podcast </w:t>
      </w:r>
      <w:r w:rsidRPr="003E054E">
        <w:rPr>
          <w:rFonts w:ascii="Lato" w:hAnsi="Lato"/>
          <w:b/>
          <w:bCs/>
          <w:sz w:val="24"/>
          <w:szCs w:val="24"/>
        </w:rPr>
        <w:t>'Climate Game Changers'</w:t>
      </w:r>
      <w:r w:rsidRPr="003E054E">
        <w:rPr>
          <w:rFonts w:ascii="Lato" w:hAnsi="Lato"/>
          <w:sz w:val="24"/>
          <w:szCs w:val="24"/>
        </w:rPr>
        <w:t xml:space="preserve">. The episodes </w:t>
      </w:r>
      <w:r w:rsidR="00A201B4">
        <w:rPr>
          <w:rFonts w:ascii="Lato" w:hAnsi="Lato"/>
          <w:sz w:val="24"/>
          <w:szCs w:val="24"/>
        </w:rPr>
        <w:t xml:space="preserve">produced </w:t>
      </w:r>
      <w:r w:rsidRPr="003E054E">
        <w:rPr>
          <w:rFonts w:ascii="Lato" w:hAnsi="Lato"/>
          <w:sz w:val="24"/>
          <w:szCs w:val="24"/>
        </w:rPr>
        <w:t>cover climate litigation and the role of AI in the climate emergency. The podcasts will be available on Spotify and Apple Music</w:t>
      </w:r>
      <w:r w:rsidR="00A201B4">
        <w:rPr>
          <w:rFonts w:ascii="Lato" w:hAnsi="Lato"/>
          <w:sz w:val="24"/>
          <w:szCs w:val="24"/>
        </w:rPr>
        <w:t>.</w:t>
      </w:r>
    </w:p>
    <w:p w14:paraId="654F2DE9" w14:textId="77777777" w:rsidR="00F61603" w:rsidRPr="000F5FB3" w:rsidRDefault="00F61603" w:rsidP="31D8C96D">
      <w:pPr>
        <w:jc w:val="both"/>
        <w:rPr>
          <w:rFonts w:ascii="Lato" w:hAnsi="Lato"/>
          <w:sz w:val="12"/>
          <w:szCs w:val="12"/>
        </w:rPr>
      </w:pPr>
    </w:p>
    <w:p w14:paraId="646C4FCE" w14:textId="5E5D7AB2" w:rsidR="00FA7A89" w:rsidRPr="00665E83" w:rsidRDefault="00FA7A89" w:rsidP="00E95F36">
      <w:pPr>
        <w:pStyle w:val="Heading1"/>
        <w:rPr>
          <w:rFonts w:ascii="Lato" w:hAnsi="Lato"/>
          <w:color w:val="002060"/>
          <w:sz w:val="26"/>
          <w:szCs w:val="26"/>
        </w:rPr>
      </w:pPr>
      <w:r w:rsidRPr="00665E83">
        <w:rPr>
          <w:rFonts w:ascii="Lato" w:hAnsi="Lato"/>
          <w:color w:val="002060"/>
          <w:sz w:val="26"/>
          <w:szCs w:val="26"/>
        </w:rPr>
        <w:t>Programme</w:t>
      </w:r>
    </w:p>
    <w:p w14:paraId="083E63AC" w14:textId="23F5BEBD" w:rsidR="00FA7A89" w:rsidRPr="000F5FB3" w:rsidRDefault="00FA7A89" w:rsidP="00E95F36">
      <w:pPr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09:00 – 09:30</w:t>
      </w:r>
      <w:r w:rsidRPr="000F5FB3">
        <w:rPr>
          <w:rFonts w:ascii="Lato" w:hAnsi="Lato"/>
          <w:sz w:val="24"/>
          <w:szCs w:val="24"/>
        </w:rPr>
        <w:tab/>
      </w:r>
      <w:r w:rsidR="002B57EC" w:rsidRPr="000F5FB3">
        <w:rPr>
          <w:rFonts w:ascii="Lato" w:hAnsi="Lato"/>
          <w:sz w:val="24"/>
          <w:szCs w:val="24"/>
        </w:rPr>
        <w:t>Registration</w:t>
      </w:r>
    </w:p>
    <w:p w14:paraId="402D11BF" w14:textId="5AE35DB5" w:rsidR="00FA7A89" w:rsidRPr="000F5FB3" w:rsidRDefault="00FA7A89" w:rsidP="00E95F36">
      <w:pPr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 xml:space="preserve">09:30 – 09:45 </w:t>
      </w:r>
      <w:r w:rsidRPr="000F5FB3">
        <w:rPr>
          <w:rFonts w:ascii="Lato" w:hAnsi="Lato"/>
          <w:sz w:val="24"/>
          <w:szCs w:val="24"/>
        </w:rPr>
        <w:tab/>
        <w:t>Opening remarks (TBC)</w:t>
      </w:r>
    </w:p>
    <w:p w14:paraId="43E87452" w14:textId="316D1030" w:rsidR="0057668C" w:rsidRPr="000F5FB3" w:rsidRDefault="0057668C" w:rsidP="005D25A9">
      <w:pPr>
        <w:jc w:val="center"/>
        <w:rPr>
          <w:rFonts w:ascii="Lato" w:hAnsi="Lato"/>
          <w:sz w:val="12"/>
          <w:szCs w:val="12"/>
        </w:rPr>
      </w:pPr>
    </w:p>
    <w:p w14:paraId="4CB57B11" w14:textId="7B89127A" w:rsidR="0057668C" w:rsidRPr="009153BF" w:rsidRDefault="0057668C" w:rsidP="00E95F36">
      <w:pPr>
        <w:jc w:val="both"/>
        <w:rPr>
          <w:rFonts w:ascii="Lato" w:hAnsi="Lato"/>
          <w:b/>
          <w:bCs/>
          <w:color w:val="002060"/>
        </w:rPr>
      </w:pPr>
      <w:r w:rsidRPr="009153BF">
        <w:rPr>
          <w:rFonts w:ascii="Lato" w:hAnsi="Lato"/>
          <w:b/>
          <w:bCs/>
          <w:color w:val="002060"/>
        </w:rPr>
        <w:t>PANEL 1</w:t>
      </w:r>
      <w:r w:rsidR="00B10142" w:rsidRPr="009153BF">
        <w:rPr>
          <w:rFonts w:ascii="Lato" w:hAnsi="Lato"/>
          <w:b/>
          <w:bCs/>
          <w:color w:val="002060"/>
        </w:rPr>
        <w:tab/>
      </w:r>
      <w:r w:rsidR="00B10142" w:rsidRPr="009153BF">
        <w:rPr>
          <w:rFonts w:ascii="Lato" w:hAnsi="Lato"/>
          <w:b/>
          <w:bCs/>
          <w:color w:val="002060"/>
        </w:rPr>
        <w:tab/>
      </w:r>
      <w:r w:rsidRPr="009153BF">
        <w:rPr>
          <w:rFonts w:ascii="Lato" w:hAnsi="Lato"/>
          <w:b/>
          <w:bCs/>
          <w:color w:val="002060"/>
        </w:rPr>
        <w:t>OIL AND GAS IN THE ENERGY TRANSITION</w:t>
      </w:r>
    </w:p>
    <w:p w14:paraId="7150896A" w14:textId="2F7447AA" w:rsidR="00AA5D2F" w:rsidRPr="000F5FB3" w:rsidRDefault="00FA7A89" w:rsidP="00E95F36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09:</w:t>
      </w:r>
      <w:r w:rsidR="0057668C" w:rsidRPr="000F5FB3">
        <w:rPr>
          <w:rFonts w:ascii="Lato" w:hAnsi="Lato"/>
          <w:sz w:val="24"/>
          <w:szCs w:val="24"/>
        </w:rPr>
        <w:t>4</w:t>
      </w:r>
      <w:r w:rsidRPr="000F5FB3">
        <w:rPr>
          <w:rFonts w:ascii="Lato" w:hAnsi="Lato"/>
          <w:sz w:val="24"/>
          <w:szCs w:val="24"/>
        </w:rPr>
        <w:t>5 – 11:00</w:t>
      </w:r>
      <w:r w:rsidRPr="000F5FB3">
        <w:rPr>
          <w:rFonts w:ascii="Lato" w:hAnsi="Lato"/>
          <w:sz w:val="24"/>
          <w:szCs w:val="24"/>
        </w:rPr>
        <w:tab/>
      </w:r>
      <w:r w:rsidR="00AA5D2F" w:rsidRPr="000F5FB3">
        <w:rPr>
          <w:rFonts w:ascii="Lato" w:hAnsi="Lato"/>
          <w:i/>
          <w:iCs/>
          <w:sz w:val="24"/>
          <w:szCs w:val="24"/>
        </w:rPr>
        <w:t>Chair</w:t>
      </w:r>
      <w:r w:rsidR="00AA5D2F" w:rsidRPr="000F5FB3">
        <w:rPr>
          <w:rFonts w:ascii="Lato" w:hAnsi="Lato"/>
          <w:sz w:val="24"/>
          <w:szCs w:val="24"/>
        </w:rPr>
        <w:t xml:space="preserve">: Carlos </w:t>
      </w:r>
      <w:proofErr w:type="spellStart"/>
      <w:r w:rsidR="00AA5D2F" w:rsidRPr="000F5FB3">
        <w:rPr>
          <w:rFonts w:ascii="Lato" w:hAnsi="Lato"/>
          <w:sz w:val="24"/>
          <w:szCs w:val="24"/>
        </w:rPr>
        <w:t>Bellorin</w:t>
      </w:r>
      <w:proofErr w:type="spellEnd"/>
      <w:r w:rsidR="00AA5D2F" w:rsidRPr="000F5FB3">
        <w:rPr>
          <w:rFonts w:ascii="Lato" w:hAnsi="Lato"/>
          <w:sz w:val="24"/>
          <w:szCs w:val="24"/>
        </w:rPr>
        <w:t xml:space="preserve"> (</w:t>
      </w:r>
      <w:r w:rsidR="00AA5D2F" w:rsidRPr="000F5FB3">
        <w:rPr>
          <w:rFonts w:ascii="Lato" w:hAnsi="Lato"/>
          <w:i/>
          <w:iCs/>
          <w:sz w:val="24"/>
          <w:szCs w:val="24"/>
        </w:rPr>
        <w:t>Q</w:t>
      </w:r>
      <w:r w:rsidR="00124059" w:rsidRPr="000F5FB3">
        <w:rPr>
          <w:rFonts w:ascii="Lato" w:hAnsi="Lato"/>
          <w:i/>
          <w:iCs/>
          <w:sz w:val="24"/>
          <w:szCs w:val="24"/>
        </w:rPr>
        <w:t xml:space="preserve">ueen </w:t>
      </w:r>
      <w:r w:rsidR="00AA5D2F" w:rsidRPr="000F5FB3">
        <w:rPr>
          <w:rFonts w:ascii="Lato" w:hAnsi="Lato"/>
          <w:i/>
          <w:iCs/>
          <w:sz w:val="24"/>
          <w:szCs w:val="24"/>
        </w:rPr>
        <w:t>M</w:t>
      </w:r>
      <w:r w:rsidR="00124059" w:rsidRPr="000F5FB3">
        <w:rPr>
          <w:rFonts w:ascii="Lato" w:hAnsi="Lato"/>
          <w:i/>
          <w:iCs/>
          <w:sz w:val="24"/>
          <w:szCs w:val="24"/>
        </w:rPr>
        <w:t xml:space="preserve">ary </w:t>
      </w:r>
      <w:r w:rsidR="00AA5D2F" w:rsidRPr="000F5FB3">
        <w:rPr>
          <w:rFonts w:ascii="Lato" w:hAnsi="Lato"/>
          <w:i/>
          <w:iCs/>
          <w:sz w:val="24"/>
          <w:szCs w:val="24"/>
        </w:rPr>
        <w:t>U</w:t>
      </w:r>
      <w:r w:rsidR="00124059" w:rsidRPr="000F5FB3">
        <w:rPr>
          <w:rFonts w:ascii="Lato" w:hAnsi="Lato"/>
          <w:i/>
          <w:iCs/>
          <w:sz w:val="24"/>
          <w:szCs w:val="24"/>
        </w:rPr>
        <w:t xml:space="preserve">niversity of </w:t>
      </w:r>
      <w:r w:rsidR="00AA5D2F" w:rsidRPr="000F5FB3">
        <w:rPr>
          <w:rFonts w:ascii="Lato" w:hAnsi="Lato"/>
          <w:i/>
          <w:iCs/>
          <w:sz w:val="24"/>
          <w:szCs w:val="24"/>
        </w:rPr>
        <w:t>L</w:t>
      </w:r>
      <w:r w:rsidR="00124059" w:rsidRPr="000F5FB3">
        <w:rPr>
          <w:rFonts w:ascii="Lato" w:hAnsi="Lato"/>
          <w:i/>
          <w:iCs/>
          <w:sz w:val="24"/>
          <w:szCs w:val="24"/>
        </w:rPr>
        <w:t>ondon</w:t>
      </w:r>
      <w:r w:rsidR="00AA5D2F" w:rsidRPr="000F5FB3">
        <w:rPr>
          <w:rFonts w:ascii="Lato" w:hAnsi="Lato"/>
          <w:sz w:val="24"/>
          <w:szCs w:val="24"/>
        </w:rPr>
        <w:t>)</w:t>
      </w:r>
    </w:p>
    <w:p w14:paraId="00C8C090" w14:textId="308FF967" w:rsidR="00CB3082" w:rsidRPr="000F5FB3" w:rsidRDefault="00CB3082" w:rsidP="00E95F36">
      <w:pPr>
        <w:ind w:left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David Manley (</w:t>
      </w:r>
      <w:r w:rsidRPr="000F5FB3">
        <w:rPr>
          <w:rFonts w:ascii="Lato" w:hAnsi="Lato"/>
          <w:i/>
          <w:iCs/>
          <w:sz w:val="24"/>
          <w:szCs w:val="24"/>
        </w:rPr>
        <w:t>Natural Resource Governance Institute</w:t>
      </w:r>
      <w:r w:rsidRPr="000F5FB3">
        <w:rPr>
          <w:rFonts w:ascii="Lato" w:hAnsi="Lato"/>
          <w:sz w:val="24"/>
          <w:szCs w:val="24"/>
        </w:rPr>
        <w:t>)</w:t>
      </w:r>
    </w:p>
    <w:p w14:paraId="6E6FEE96" w14:textId="78F597AD" w:rsidR="00FA7A89" w:rsidRPr="000F5FB3" w:rsidRDefault="00AA5D2F" w:rsidP="00E95F36">
      <w:pPr>
        <w:ind w:left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Beth Mitchell (</w:t>
      </w:r>
      <w:r w:rsidR="00CB3082" w:rsidRPr="000F5FB3">
        <w:rPr>
          <w:rFonts w:ascii="Lato" w:hAnsi="Lato"/>
          <w:i/>
          <w:iCs/>
          <w:sz w:val="24"/>
          <w:szCs w:val="24"/>
        </w:rPr>
        <w:t>Independent Consultant</w:t>
      </w:r>
      <w:r w:rsidR="00E95F36" w:rsidRPr="000F5FB3">
        <w:rPr>
          <w:rFonts w:ascii="Lato" w:hAnsi="Lato"/>
          <w:sz w:val="24"/>
          <w:szCs w:val="24"/>
        </w:rPr>
        <w:t>)</w:t>
      </w:r>
    </w:p>
    <w:p w14:paraId="7C4D883A" w14:textId="379068F5" w:rsidR="00AA5D2F" w:rsidRPr="000F5FB3" w:rsidRDefault="00AA5D2F" w:rsidP="00E95F36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  <w:t>Peter Roberts</w:t>
      </w:r>
      <w:r w:rsidR="00E95F36" w:rsidRPr="000F5FB3">
        <w:rPr>
          <w:rFonts w:ascii="Lato" w:hAnsi="Lato"/>
          <w:sz w:val="24"/>
          <w:szCs w:val="24"/>
        </w:rPr>
        <w:t xml:space="preserve"> (</w:t>
      </w:r>
      <w:proofErr w:type="spellStart"/>
      <w:r w:rsidR="00E95F36" w:rsidRPr="000F5FB3">
        <w:rPr>
          <w:rFonts w:ascii="Lato" w:hAnsi="Lato"/>
          <w:i/>
          <w:iCs/>
          <w:sz w:val="24"/>
          <w:szCs w:val="24"/>
        </w:rPr>
        <w:t>Kosmos</w:t>
      </w:r>
      <w:proofErr w:type="spellEnd"/>
      <w:r w:rsidR="00E95F36" w:rsidRPr="000F5FB3">
        <w:rPr>
          <w:rFonts w:ascii="Lato" w:hAnsi="Lato"/>
          <w:i/>
          <w:iCs/>
          <w:sz w:val="24"/>
          <w:szCs w:val="24"/>
        </w:rPr>
        <w:t xml:space="preserve"> Energy</w:t>
      </w:r>
      <w:r w:rsidR="00150864">
        <w:rPr>
          <w:rFonts w:ascii="Lato" w:hAnsi="Lato"/>
          <w:i/>
          <w:iCs/>
          <w:sz w:val="24"/>
          <w:szCs w:val="24"/>
        </w:rPr>
        <w:t xml:space="preserve"> &amp; </w:t>
      </w:r>
      <w:proofErr w:type="spellStart"/>
      <w:r w:rsidR="00CB3082" w:rsidRPr="000F5FB3">
        <w:rPr>
          <w:rFonts w:ascii="Lato" w:hAnsi="Lato"/>
          <w:i/>
          <w:iCs/>
          <w:sz w:val="24"/>
          <w:szCs w:val="24"/>
        </w:rPr>
        <w:t>Crosskeys</w:t>
      </w:r>
      <w:proofErr w:type="spellEnd"/>
      <w:r w:rsidR="00CB3082" w:rsidRPr="000F5FB3">
        <w:rPr>
          <w:rFonts w:ascii="Lato" w:hAnsi="Lato"/>
          <w:i/>
          <w:iCs/>
          <w:sz w:val="24"/>
          <w:szCs w:val="24"/>
        </w:rPr>
        <w:t xml:space="preserve"> Energy</w:t>
      </w:r>
      <w:r w:rsidR="00E95F36" w:rsidRPr="000F5FB3">
        <w:rPr>
          <w:rFonts w:ascii="Lato" w:hAnsi="Lato"/>
          <w:sz w:val="24"/>
          <w:szCs w:val="24"/>
        </w:rPr>
        <w:t xml:space="preserve">) </w:t>
      </w:r>
    </w:p>
    <w:p w14:paraId="28DD9C82" w14:textId="59916CF8" w:rsidR="00E95F36" w:rsidRDefault="00AA5D2F" w:rsidP="00CB3082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  <w:t xml:space="preserve">Kelly Ripley </w:t>
      </w:r>
      <w:r w:rsidR="00E95F36" w:rsidRPr="000F5FB3">
        <w:rPr>
          <w:rFonts w:ascii="Lato" w:hAnsi="Lato"/>
          <w:sz w:val="24"/>
          <w:szCs w:val="24"/>
        </w:rPr>
        <w:t>(</w:t>
      </w:r>
      <w:r w:rsidR="00E95F36" w:rsidRPr="000F5FB3">
        <w:rPr>
          <w:rFonts w:ascii="Lato" w:hAnsi="Lato"/>
          <w:i/>
          <w:iCs/>
          <w:sz w:val="24"/>
          <w:szCs w:val="24"/>
        </w:rPr>
        <w:t>Shell</w:t>
      </w:r>
      <w:r w:rsidR="00E95F36" w:rsidRPr="000F5FB3">
        <w:rPr>
          <w:rFonts w:ascii="Lato" w:hAnsi="Lato"/>
          <w:sz w:val="24"/>
          <w:szCs w:val="24"/>
        </w:rPr>
        <w:t>)</w:t>
      </w:r>
    </w:p>
    <w:p w14:paraId="2DC1D3DD" w14:textId="77777777" w:rsidR="000F5FB3" w:rsidRPr="000F5FB3" w:rsidRDefault="000F5FB3" w:rsidP="00CB3082">
      <w:pPr>
        <w:ind w:left="2160" w:hanging="2160"/>
        <w:jc w:val="both"/>
        <w:rPr>
          <w:rFonts w:ascii="Lato" w:hAnsi="Lato"/>
          <w:sz w:val="12"/>
          <w:szCs w:val="12"/>
        </w:rPr>
      </w:pPr>
    </w:p>
    <w:p w14:paraId="34279F99" w14:textId="56E2F71A" w:rsidR="00C63F99" w:rsidRPr="000F5FB3" w:rsidRDefault="00E95F36" w:rsidP="000F5FB3">
      <w:pPr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11:00 – 11:</w:t>
      </w:r>
      <w:r w:rsidR="00694261" w:rsidRPr="000F5FB3">
        <w:rPr>
          <w:rFonts w:ascii="Lato" w:hAnsi="Lato"/>
          <w:sz w:val="24"/>
          <w:szCs w:val="24"/>
        </w:rPr>
        <w:t>2</w:t>
      </w:r>
      <w:r w:rsidRPr="000F5FB3">
        <w:rPr>
          <w:rFonts w:ascii="Lato" w:hAnsi="Lato"/>
          <w:sz w:val="24"/>
          <w:szCs w:val="24"/>
        </w:rPr>
        <w:t>0</w:t>
      </w:r>
      <w:r w:rsidRPr="000F5FB3">
        <w:rPr>
          <w:rFonts w:ascii="Lato" w:hAnsi="Lato"/>
          <w:sz w:val="24"/>
          <w:szCs w:val="24"/>
        </w:rPr>
        <w:tab/>
        <w:t>Coffee break</w:t>
      </w:r>
    </w:p>
    <w:p w14:paraId="3360C164" w14:textId="77777777" w:rsidR="00614C90" w:rsidRPr="00665E83" w:rsidRDefault="00614C90" w:rsidP="00C63F99">
      <w:pPr>
        <w:ind w:left="2160" w:hanging="2160"/>
        <w:jc w:val="both"/>
        <w:rPr>
          <w:rFonts w:ascii="Lato" w:hAnsi="Lato"/>
          <w:sz w:val="14"/>
          <w:szCs w:val="14"/>
        </w:rPr>
      </w:pPr>
    </w:p>
    <w:p w14:paraId="44EF5877" w14:textId="73DEA97A" w:rsidR="003D7807" w:rsidRPr="000F5FB3" w:rsidRDefault="009153BF" w:rsidP="002B57EC">
      <w:pPr>
        <w:jc w:val="both"/>
        <w:rPr>
          <w:rFonts w:ascii="Lato" w:hAnsi="Lato"/>
          <w:b/>
          <w:bCs/>
          <w:color w:val="002060"/>
        </w:rPr>
      </w:pPr>
      <w:r>
        <w:rPr>
          <w:rFonts w:ascii="Lato" w:hAnsi="Lato"/>
          <w:b/>
          <w:bCs/>
          <w:color w:val="002060"/>
        </w:rPr>
        <w:t xml:space="preserve">LAUNCH </w:t>
      </w:r>
      <w:r>
        <w:rPr>
          <w:rFonts w:ascii="Lato" w:hAnsi="Lato"/>
          <w:b/>
          <w:bCs/>
          <w:color w:val="002060"/>
        </w:rPr>
        <w:tab/>
      </w:r>
      <w:r>
        <w:rPr>
          <w:rFonts w:ascii="Lato" w:hAnsi="Lato"/>
          <w:b/>
          <w:bCs/>
          <w:color w:val="002060"/>
        </w:rPr>
        <w:tab/>
        <w:t>PODCAST ‘</w:t>
      </w:r>
      <w:r w:rsidR="003D7807" w:rsidRPr="000F5FB3">
        <w:rPr>
          <w:rFonts w:ascii="Lato" w:hAnsi="Lato"/>
          <w:b/>
          <w:bCs/>
          <w:color w:val="002060"/>
        </w:rPr>
        <w:t>CLIMATE GAME CHANGERS</w:t>
      </w:r>
      <w:r>
        <w:rPr>
          <w:rFonts w:ascii="Lato" w:hAnsi="Lato"/>
          <w:b/>
          <w:bCs/>
          <w:color w:val="002060"/>
        </w:rPr>
        <w:t>’</w:t>
      </w:r>
      <w:r w:rsidR="003D7807" w:rsidRPr="000F5FB3">
        <w:rPr>
          <w:rFonts w:ascii="Lato" w:hAnsi="Lato"/>
          <w:b/>
          <w:bCs/>
          <w:color w:val="002060"/>
        </w:rPr>
        <w:t xml:space="preserve"> </w:t>
      </w:r>
    </w:p>
    <w:p w14:paraId="30347D8E" w14:textId="19F06224" w:rsidR="003D7807" w:rsidRPr="000F5FB3" w:rsidRDefault="003D7807" w:rsidP="005D25A9">
      <w:pPr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11:</w:t>
      </w:r>
      <w:r w:rsidR="00694261" w:rsidRPr="000F5FB3">
        <w:rPr>
          <w:rFonts w:ascii="Lato" w:hAnsi="Lato"/>
          <w:sz w:val="24"/>
          <w:szCs w:val="24"/>
        </w:rPr>
        <w:t>2</w:t>
      </w:r>
      <w:r w:rsidRPr="000F5FB3">
        <w:rPr>
          <w:rFonts w:ascii="Lato" w:hAnsi="Lato"/>
          <w:sz w:val="24"/>
          <w:szCs w:val="24"/>
        </w:rPr>
        <w:t>0 – 11:</w:t>
      </w:r>
      <w:r w:rsidR="00694261" w:rsidRPr="000F5FB3">
        <w:rPr>
          <w:rFonts w:ascii="Lato" w:hAnsi="Lato"/>
          <w:sz w:val="24"/>
          <w:szCs w:val="24"/>
        </w:rPr>
        <w:t>35</w:t>
      </w:r>
      <w:r w:rsidRPr="000F5FB3">
        <w:rPr>
          <w:rFonts w:ascii="Lato" w:hAnsi="Lato"/>
          <w:sz w:val="24"/>
          <w:szCs w:val="24"/>
        </w:rPr>
        <w:t xml:space="preserve"> </w:t>
      </w:r>
      <w:r w:rsidRPr="000F5FB3">
        <w:rPr>
          <w:rFonts w:ascii="Lato" w:hAnsi="Lato"/>
          <w:sz w:val="24"/>
          <w:szCs w:val="24"/>
        </w:rPr>
        <w:tab/>
        <w:t xml:space="preserve">Tibisay Morgandi and Caterina </w:t>
      </w:r>
      <w:proofErr w:type="spellStart"/>
      <w:r w:rsidRPr="000F5FB3">
        <w:rPr>
          <w:rFonts w:ascii="Lato" w:hAnsi="Lato"/>
          <w:sz w:val="24"/>
          <w:szCs w:val="24"/>
        </w:rPr>
        <w:t>Gennaioli</w:t>
      </w:r>
      <w:proofErr w:type="spellEnd"/>
    </w:p>
    <w:p w14:paraId="6067719E" w14:textId="77777777" w:rsidR="003D7807" w:rsidRPr="000F5FB3" w:rsidRDefault="003D7807" w:rsidP="005D25A9">
      <w:pPr>
        <w:jc w:val="both"/>
        <w:rPr>
          <w:rFonts w:ascii="Lato" w:hAnsi="Lato"/>
          <w:b/>
          <w:bCs/>
          <w:color w:val="002060"/>
          <w:sz w:val="12"/>
          <w:szCs w:val="12"/>
        </w:rPr>
      </w:pPr>
    </w:p>
    <w:p w14:paraId="696691B1" w14:textId="2CCFC3C1" w:rsidR="005D25A9" w:rsidRPr="00665E83" w:rsidRDefault="005D25A9" w:rsidP="009153BF">
      <w:pPr>
        <w:ind w:left="2160" w:right="-708" w:hanging="2160"/>
        <w:jc w:val="both"/>
        <w:rPr>
          <w:rFonts w:ascii="Lato" w:hAnsi="Lato"/>
          <w:b/>
          <w:bCs/>
          <w:color w:val="002060"/>
        </w:rPr>
      </w:pPr>
      <w:r w:rsidRPr="00665E83">
        <w:rPr>
          <w:rFonts w:ascii="Lato" w:hAnsi="Lato"/>
          <w:b/>
          <w:bCs/>
          <w:color w:val="002060"/>
        </w:rPr>
        <w:t>PANEL 2</w:t>
      </w:r>
      <w:r w:rsidR="009153BF">
        <w:rPr>
          <w:rFonts w:ascii="Lato" w:hAnsi="Lato"/>
          <w:b/>
          <w:bCs/>
          <w:color w:val="002060"/>
        </w:rPr>
        <w:tab/>
      </w:r>
      <w:r w:rsidRPr="00665E83">
        <w:rPr>
          <w:rFonts w:ascii="Lato" w:hAnsi="Lato"/>
          <w:b/>
          <w:bCs/>
          <w:color w:val="002060"/>
        </w:rPr>
        <w:t>THE TRANSITION THROUGH THE LENS OF ESG</w:t>
      </w:r>
    </w:p>
    <w:p w14:paraId="1EF02C3D" w14:textId="536E35C8" w:rsidR="005D25A9" w:rsidRPr="000F5FB3" w:rsidRDefault="007634A6" w:rsidP="00124059">
      <w:pPr>
        <w:ind w:left="2160" w:right="-425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11</w:t>
      </w:r>
      <w:r w:rsidR="005D25A9" w:rsidRPr="000F5FB3">
        <w:rPr>
          <w:rFonts w:ascii="Lato" w:hAnsi="Lato"/>
          <w:sz w:val="24"/>
          <w:szCs w:val="24"/>
        </w:rPr>
        <w:t>:</w:t>
      </w:r>
      <w:r w:rsidR="00694261" w:rsidRPr="000F5FB3">
        <w:rPr>
          <w:rFonts w:ascii="Lato" w:hAnsi="Lato"/>
          <w:sz w:val="24"/>
          <w:szCs w:val="24"/>
        </w:rPr>
        <w:t>3</w:t>
      </w:r>
      <w:r w:rsidR="003D7807" w:rsidRPr="000F5FB3">
        <w:rPr>
          <w:rFonts w:ascii="Lato" w:hAnsi="Lato"/>
          <w:sz w:val="24"/>
          <w:szCs w:val="24"/>
        </w:rPr>
        <w:t>5</w:t>
      </w:r>
      <w:r w:rsidR="005D25A9" w:rsidRPr="000F5FB3">
        <w:rPr>
          <w:rFonts w:ascii="Lato" w:hAnsi="Lato"/>
          <w:sz w:val="24"/>
          <w:szCs w:val="24"/>
        </w:rPr>
        <w:t xml:space="preserve"> – 1</w:t>
      </w:r>
      <w:r w:rsidR="00694261" w:rsidRPr="000F5FB3">
        <w:rPr>
          <w:rFonts w:ascii="Lato" w:hAnsi="Lato"/>
          <w:sz w:val="24"/>
          <w:szCs w:val="24"/>
        </w:rPr>
        <w:t>2</w:t>
      </w:r>
      <w:r w:rsidR="009A1D06" w:rsidRPr="000F5FB3">
        <w:rPr>
          <w:rFonts w:ascii="Lato" w:hAnsi="Lato"/>
          <w:sz w:val="24"/>
          <w:szCs w:val="24"/>
        </w:rPr>
        <w:t>:</w:t>
      </w:r>
      <w:r w:rsidR="00694261" w:rsidRPr="000F5FB3">
        <w:rPr>
          <w:rFonts w:ascii="Lato" w:hAnsi="Lato"/>
          <w:sz w:val="24"/>
          <w:szCs w:val="24"/>
        </w:rPr>
        <w:t>50</w:t>
      </w:r>
      <w:r w:rsidR="005D25A9" w:rsidRPr="000F5FB3">
        <w:rPr>
          <w:rFonts w:ascii="Lato" w:hAnsi="Lato"/>
          <w:sz w:val="24"/>
          <w:szCs w:val="24"/>
        </w:rPr>
        <w:tab/>
      </w:r>
      <w:r w:rsidR="005D25A9" w:rsidRPr="000F5FB3">
        <w:rPr>
          <w:rFonts w:ascii="Lato" w:hAnsi="Lato"/>
          <w:i/>
          <w:iCs/>
          <w:sz w:val="24"/>
          <w:szCs w:val="24"/>
        </w:rPr>
        <w:t>Chair</w:t>
      </w:r>
      <w:r w:rsidR="005D25A9" w:rsidRPr="000F5FB3">
        <w:rPr>
          <w:rFonts w:ascii="Lato" w:hAnsi="Lato"/>
          <w:sz w:val="24"/>
          <w:szCs w:val="24"/>
        </w:rPr>
        <w:t xml:space="preserve">: Caterina </w:t>
      </w:r>
      <w:proofErr w:type="spellStart"/>
      <w:r w:rsidR="005D25A9" w:rsidRPr="000F5FB3">
        <w:rPr>
          <w:rFonts w:ascii="Lato" w:hAnsi="Lato"/>
          <w:sz w:val="24"/>
          <w:szCs w:val="24"/>
        </w:rPr>
        <w:t>Gennaioli</w:t>
      </w:r>
      <w:proofErr w:type="spellEnd"/>
      <w:r w:rsidR="005D25A9" w:rsidRPr="000F5FB3">
        <w:rPr>
          <w:rFonts w:ascii="Lato" w:hAnsi="Lato"/>
          <w:sz w:val="24"/>
          <w:szCs w:val="24"/>
        </w:rPr>
        <w:t xml:space="preserve"> (</w:t>
      </w:r>
      <w:r w:rsidR="00124059" w:rsidRPr="000F5FB3">
        <w:rPr>
          <w:rFonts w:ascii="Lato" w:hAnsi="Lato"/>
          <w:i/>
          <w:iCs/>
          <w:sz w:val="24"/>
          <w:szCs w:val="24"/>
        </w:rPr>
        <w:t>Queen Mary University of London</w:t>
      </w:r>
      <w:r w:rsidR="005D25A9" w:rsidRPr="000F5FB3">
        <w:rPr>
          <w:rFonts w:ascii="Lato" w:hAnsi="Lato"/>
          <w:sz w:val="24"/>
          <w:szCs w:val="24"/>
        </w:rPr>
        <w:t>)</w:t>
      </w:r>
    </w:p>
    <w:p w14:paraId="7EDDDA14" w14:textId="6133A6D6" w:rsidR="005D25A9" w:rsidRPr="000F5FB3" w:rsidRDefault="007634A6" w:rsidP="005D25A9">
      <w:pPr>
        <w:ind w:left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Robyn Klingler-</w:t>
      </w:r>
      <w:proofErr w:type="spellStart"/>
      <w:r w:rsidRPr="000F5FB3">
        <w:rPr>
          <w:rFonts w:ascii="Lato" w:hAnsi="Lato"/>
          <w:sz w:val="24"/>
          <w:szCs w:val="24"/>
        </w:rPr>
        <w:t>Vidra</w:t>
      </w:r>
      <w:proofErr w:type="spellEnd"/>
      <w:r w:rsidRPr="000F5FB3">
        <w:rPr>
          <w:rFonts w:ascii="Lato" w:hAnsi="Lato"/>
          <w:sz w:val="24"/>
          <w:szCs w:val="24"/>
        </w:rPr>
        <w:t xml:space="preserve"> (</w:t>
      </w:r>
      <w:r w:rsidRPr="000F5FB3">
        <w:rPr>
          <w:rFonts w:ascii="Lato" w:hAnsi="Lato"/>
          <w:i/>
          <w:iCs/>
          <w:sz w:val="24"/>
          <w:szCs w:val="24"/>
        </w:rPr>
        <w:t>K</w:t>
      </w:r>
      <w:r w:rsidR="00124059" w:rsidRPr="000F5FB3">
        <w:rPr>
          <w:rFonts w:ascii="Lato" w:hAnsi="Lato"/>
          <w:i/>
          <w:iCs/>
          <w:sz w:val="24"/>
          <w:szCs w:val="24"/>
        </w:rPr>
        <w:t>ing’s College London</w:t>
      </w:r>
      <w:r w:rsidRPr="000F5FB3">
        <w:rPr>
          <w:rFonts w:ascii="Lato" w:hAnsi="Lato"/>
          <w:sz w:val="24"/>
          <w:szCs w:val="24"/>
        </w:rPr>
        <w:t>)</w:t>
      </w:r>
    </w:p>
    <w:p w14:paraId="20041AC4" w14:textId="7912A259" w:rsidR="005D25A9" w:rsidRPr="000F5FB3" w:rsidRDefault="005D25A9" w:rsidP="003D7807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</w:r>
      <w:r w:rsidR="00711D63">
        <w:rPr>
          <w:rFonts w:ascii="Lato" w:hAnsi="Lato"/>
          <w:sz w:val="24"/>
          <w:szCs w:val="24"/>
        </w:rPr>
        <w:t>Tibisay Morgandi (</w:t>
      </w:r>
      <w:r w:rsidR="00711D63" w:rsidRPr="000F5FB3">
        <w:rPr>
          <w:rFonts w:ascii="Lato" w:hAnsi="Lato"/>
          <w:i/>
          <w:iCs/>
          <w:sz w:val="24"/>
          <w:szCs w:val="24"/>
        </w:rPr>
        <w:t>Queen Mary University of London</w:t>
      </w:r>
      <w:r w:rsidR="00711D63">
        <w:rPr>
          <w:rFonts w:ascii="Lato" w:hAnsi="Lato"/>
          <w:sz w:val="24"/>
          <w:szCs w:val="24"/>
        </w:rPr>
        <w:t>)</w:t>
      </w:r>
      <w:r w:rsidRPr="000F5FB3">
        <w:rPr>
          <w:rFonts w:ascii="Lato" w:hAnsi="Lato"/>
          <w:sz w:val="24"/>
          <w:szCs w:val="24"/>
        </w:rPr>
        <w:t xml:space="preserve"> </w:t>
      </w:r>
    </w:p>
    <w:p w14:paraId="4CD5A739" w14:textId="350E66E0" w:rsidR="005D25A9" w:rsidRPr="000F5FB3" w:rsidRDefault="005D25A9" w:rsidP="003D7807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</w:r>
      <w:r w:rsidR="001D21C7" w:rsidRPr="000F5FB3">
        <w:rPr>
          <w:rFonts w:ascii="Lato" w:hAnsi="Lato"/>
          <w:sz w:val="24"/>
          <w:szCs w:val="24"/>
        </w:rPr>
        <w:t>Kevin Tang (</w:t>
      </w:r>
      <w:r w:rsidR="001D21C7" w:rsidRPr="000F5FB3">
        <w:rPr>
          <w:rFonts w:ascii="Lato" w:hAnsi="Lato"/>
          <w:i/>
          <w:iCs/>
          <w:sz w:val="24"/>
          <w:szCs w:val="24"/>
        </w:rPr>
        <w:t>University of Oxford</w:t>
      </w:r>
      <w:r w:rsidR="001D21C7" w:rsidRPr="000F5FB3">
        <w:rPr>
          <w:rFonts w:ascii="Lato" w:hAnsi="Lato"/>
          <w:sz w:val="24"/>
          <w:szCs w:val="24"/>
        </w:rPr>
        <w:t>)</w:t>
      </w:r>
    </w:p>
    <w:p w14:paraId="59993F67" w14:textId="77777777" w:rsidR="003D7807" w:rsidRPr="000F5FB3" w:rsidRDefault="003D7807" w:rsidP="003D7807">
      <w:pPr>
        <w:ind w:left="2160" w:hanging="2160"/>
        <w:jc w:val="both"/>
        <w:rPr>
          <w:rFonts w:ascii="Lato" w:hAnsi="Lato"/>
          <w:sz w:val="12"/>
          <w:szCs w:val="12"/>
        </w:rPr>
      </w:pPr>
    </w:p>
    <w:p w14:paraId="3B7D0582" w14:textId="4125AD32" w:rsidR="005D25A9" w:rsidRPr="000F5FB3" w:rsidRDefault="005D25A9" w:rsidP="005D25A9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</w:t>
      </w:r>
      <w:r w:rsidR="00694261" w:rsidRPr="000F5FB3">
        <w:rPr>
          <w:rFonts w:ascii="Lato" w:hAnsi="Lato"/>
          <w:sz w:val="24"/>
          <w:szCs w:val="24"/>
        </w:rPr>
        <w:t>2</w:t>
      </w:r>
      <w:r w:rsidRPr="000F5FB3">
        <w:rPr>
          <w:rFonts w:ascii="Lato" w:hAnsi="Lato"/>
          <w:sz w:val="24"/>
          <w:szCs w:val="24"/>
        </w:rPr>
        <w:t>:</w:t>
      </w:r>
      <w:r w:rsidR="00694261" w:rsidRPr="000F5FB3">
        <w:rPr>
          <w:rFonts w:ascii="Lato" w:hAnsi="Lato"/>
          <w:sz w:val="24"/>
          <w:szCs w:val="24"/>
        </w:rPr>
        <w:t>5</w:t>
      </w:r>
      <w:r w:rsidR="009A1D06" w:rsidRPr="000F5FB3">
        <w:rPr>
          <w:rFonts w:ascii="Lato" w:hAnsi="Lato"/>
          <w:sz w:val="24"/>
          <w:szCs w:val="24"/>
        </w:rPr>
        <w:t xml:space="preserve">0 </w:t>
      </w:r>
      <w:r w:rsidRPr="000F5FB3">
        <w:rPr>
          <w:rFonts w:ascii="Lato" w:hAnsi="Lato"/>
          <w:sz w:val="24"/>
          <w:szCs w:val="24"/>
        </w:rPr>
        <w:t>– 1</w:t>
      </w:r>
      <w:r w:rsidR="006E250C" w:rsidRPr="000F5FB3">
        <w:rPr>
          <w:rFonts w:ascii="Lato" w:hAnsi="Lato"/>
          <w:sz w:val="24"/>
          <w:szCs w:val="24"/>
        </w:rPr>
        <w:t>4</w:t>
      </w:r>
      <w:r w:rsidR="00694261" w:rsidRPr="000F5FB3">
        <w:rPr>
          <w:rFonts w:ascii="Lato" w:hAnsi="Lato"/>
          <w:sz w:val="24"/>
          <w:szCs w:val="24"/>
        </w:rPr>
        <w:t>:00</w:t>
      </w:r>
      <w:r w:rsidRPr="000F5FB3">
        <w:rPr>
          <w:rFonts w:ascii="Lato" w:hAnsi="Lato"/>
          <w:sz w:val="24"/>
          <w:szCs w:val="24"/>
        </w:rPr>
        <w:tab/>
      </w:r>
      <w:r w:rsidR="006E250C" w:rsidRPr="000F5FB3">
        <w:rPr>
          <w:rFonts w:ascii="Lato" w:hAnsi="Lato"/>
          <w:sz w:val="24"/>
          <w:szCs w:val="24"/>
        </w:rPr>
        <w:t>Lunch</w:t>
      </w:r>
    </w:p>
    <w:p w14:paraId="18AAAC51" w14:textId="77777777" w:rsidR="006E250C" w:rsidRPr="000F5FB3" w:rsidRDefault="006E250C" w:rsidP="005D25A9">
      <w:pPr>
        <w:ind w:left="2160" w:hanging="2160"/>
        <w:jc w:val="both"/>
        <w:rPr>
          <w:rFonts w:ascii="Lato" w:hAnsi="Lato"/>
          <w:sz w:val="12"/>
          <w:szCs w:val="12"/>
        </w:rPr>
      </w:pPr>
    </w:p>
    <w:p w14:paraId="63AF7BFA" w14:textId="0BB15FCE" w:rsidR="006E250C" w:rsidRPr="00665E83" w:rsidRDefault="006E250C" w:rsidP="006E250C">
      <w:pPr>
        <w:jc w:val="both"/>
        <w:rPr>
          <w:rFonts w:ascii="Lato" w:hAnsi="Lato"/>
          <w:b/>
          <w:bCs/>
          <w:color w:val="002060"/>
        </w:rPr>
      </w:pPr>
      <w:r w:rsidRPr="00665E83">
        <w:rPr>
          <w:rFonts w:ascii="Lato" w:hAnsi="Lato"/>
          <w:b/>
          <w:bCs/>
          <w:color w:val="002060"/>
        </w:rPr>
        <w:t>PANEL 3</w:t>
      </w:r>
      <w:r w:rsidR="009153BF">
        <w:rPr>
          <w:rFonts w:ascii="Lato" w:hAnsi="Lato"/>
          <w:b/>
          <w:bCs/>
          <w:color w:val="002060"/>
        </w:rPr>
        <w:tab/>
      </w:r>
      <w:r w:rsidR="009153BF">
        <w:rPr>
          <w:rFonts w:ascii="Lato" w:hAnsi="Lato"/>
          <w:b/>
          <w:bCs/>
          <w:color w:val="002060"/>
        </w:rPr>
        <w:tab/>
      </w:r>
      <w:r w:rsidRPr="00665E83">
        <w:rPr>
          <w:rFonts w:ascii="Lato" w:hAnsi="Lato"/>
          <w:b/>
          <w:bCs/>
          <w:color w:val="002060"/>
        </w:rPr>
        <w:t>CLIMATE LITIGATION</w:t>
      </w:r>
    </w:p>
    <w:p w14:paraId="5E3404C1" w14:textId="4B52A47D" w:rsidR="006E250C" w:rsidRPr="000F5FB3" w:rsidRDefault="006E250C" w:rsidP="006E250C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</w:t>
      </w:r>
      <w:r w:rsidR="00107E0A" w:rsidRPr="000F5FB3">
        <w:rPr>
          <w:rFonts w:ascii="Lato" w:hAnsi="Lato"/>
          <w:sz w:val="24"/>
          <w:szCs w:val="24"/>
        </w:rPr>
        <w:t>4:</w:t>
      </w:r>
      <w:r w:rsidR="00694261" w:rsidRPr="000F5FB3">
        <w:rPr>
          <w:rFonts w:ascii="Lato" w:hAnsi="Lato"/>
          <w:sz w:val="24"/>
          <w:szCs w:val="24"/>
        </w:rPr>
        <w:t>00</w:t>
      </w:r>
      <w:r w:rsidRPr="000F5FB3">
        <w:rPr>
          <w:rFonts w:ascii="Lato" w:hAnsi="Lato"/>
          <w:sz w:val="24"/>
          <w:szCs w:val="24"/>
        </w:rPr>
        <w:t xml:space="preserve"> – 1</w:t>
      </w:r>
      <w:r w:rsidR="00107E0A" w:rsidRPr="000F5FB3">
        <w:rPr>
          <w:rFonts w:ascii="Lato" w:hAnsi="Lato"/>
          <w:sz w:val="24"/>
          <w:szCs w:val="24"/>
        </w:rPr>
        <w:t>5</w:t>
      </w:r>
      <w:r w:rsidRPr="000F5FB3">
        <w:rPr>
          <w:rFonts w:ascii="Lato" w:hAnsi="Lato"/>
          <w:sz w:val="24"/>
          <w:szCs w:val="24"/>
        </w:rPr>
        <w:t>:</w:t>
      </w:r>
      <w:r w:rsidR="00922E87" w:rsidRPr="000F5FB3">
        <w:rPr>
          <w:rFonts w:ascii="Lato" w:hAnsi="Lato"/>
          <w:sz w:val="24"/>
          <w:szCs w:val="24"/>
        </w:rPr>
        <w:t>1</w:t>
      </w:r>
      <w:r w:rsidRPr="000F5FB3">
        <w:rPr>
          <w:rFonts w:ascii="Lato" w:hAnsi="Lato"/>
          <w:sz w:val="24"/>
          <w:szCs w:val="24"/>
        </w:rPr>
        <w:t>5</w:t>
      </w:r>
      <w:r w:rsidRPr="000F5FB3">
        <w:rPr>
          <w:rFonts w:ascii="Lato" w:hAnsi="Lato"/>
          <w:sz w:val="24"/>
          <w:szCs w:val="24"/>
        </w:rPr>
        <w:tab/>
      </w:r>
      <w:r w:rsidRPr="000F5FB3">
        <w:rPr>
          <w:rFonts w:ascii="Lato" w:hAnsi="Lato"/>
          <w:i/>
          <w:iCs/>
          <w:sz w:val="24"/>
          <w:szCs w:val="24"/>
        </w:rPr>
        <w:t>Chair</w:t>
      </w:r>
      <w:r w:rsidRPr="000F5FB3">
        <w:rPr>
          <w:rFonts w:ascii="Lato" w:hAnsi="Lato"/>
          <w:sz w:val="24"/>
          <w:szCs w:val="24"/>
        </w:rPr>
        <w:t>: Tibisay Morgandi (</w:t>
      </w:r>
      <w:r w:rsidR="00124059" w:rsidRPr="000F5FB3">
        <w:rPr>
          <w:rFonts w:ascii="Lato" w:hAnsi="Lato"/>
          <w:i/>
          <w:iCs/>
          <w:sz w:val="24"/>
          <w:szCs w:val="24"/>
        </w:rPr>
        <w:t>Queen Mary University of London</w:t>
      </w:r>
      <w:r w:rsidRPr="000F5FB3">
        <w:rPr>
          <w:rFonts w:ascii="Lato" w:hAnsi="Lato"/>
          <w:sz w:val="24"/>
          <w:szCs w:val="24"/>
        </w:rPr>
        <w:t>)</w:t>
      </w:r>
    </w:p>
    <w:p w14:paraId="0CA73F47" w14:textId="22959AB9" w:rsidR="006E250C" w:rsidRPr="000F5FB3" w:rsidRDefault="006E250C" w:rsidP="006E250C">
      <w:pPr>
        <w:ind w:left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 xml:space="preserve">Payam </w:t>
      </w:r>
      <w:proofErr w:type="spellStart"/>
      <w:r w:rsidRPr="000F5FB3">
        <w:rPr>
          <w:rFonts w:ascii="Lato" w:hAnsi="Lato"/>
          <w:sz w:val="24"/>
          <w:szCs w:val="24"/>
        </w:rPr>
        <w:t>Akhavan</w:t>
      </w:r>
      <w:proofErr w:type="spellEnd"/>
      <w:r w:rsidRPr="000F5FB3">
        <w:rPr>
          <w:rFonts w:ascii="Lato" w:hAnsi="Lato"/>
          <w:sz w:val="24"/>
          <w:szCs w:val="24"/>
        </w:rPr>
        <w:t xml:space="preserve"> (</w:t>
      </w:r>
      <w:r w:rsidR="00BC7479" w:rsidRPr="000F5FB3">
        <w:rPr>
          <w:rFonts w:ascii="Lato" w:hAnsi="Lato"/>
          <w:i/>
          <w:iCs/>
          <w:sz w:val="24"/>
          <w:szCs w:val="24"/>
        </w:rPr>
        <w:t>University of Toronto</w:t>
      </w:r>
      <w:r w:rsidR="00BC7479" w:rsidRPr="000F5FB3">
        <w:rPr>
          <w:rFonts w:ascii="Lato" w:hAnsi="Lato"/>
          <w:sz w:val="24"/>
          <w:szCs w:val="24"/>
        </w:rPr>
        <w:t>)</w:t>
      </w:r>
    </w:p>
    <w:p w14:paraId="07332E22" w14:textId="1A5BE66C" w:rsidR="006E250C" w:rsidRPr="000F5FB3" w:rsidRDefault="006E250C" w:rsidP="00BC7479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</w:r>
      <w:proofErr w:type="spellStart"/>
      <w:r w:rsidR="00BC7479" w:rsidRPr="000F5FB3">
        <w:rPr>
          <w:rFonts w:ascii="Lato" w:hAnsi="Lato"/>
          <w:sz w:val="24"/>
          <w:szCs w:val="24"/>
        </w:rPr>
        <w:t>Lesther</w:t>
      </w:r>
      <w:proofErr w:type="spellEnd"/>
      <w:r w:rsidR="00107E0A" w:rsidRPr="000F5FB3">
        <w:rPr>
          <w:rFonts w:ascii="Lato" w:hAnsi="Lato"/>
          <w:sz w:val="24"/>
          <w:szCs w:val="24"/>
        </w:rPr>
        <w:t xml:space="preserve"> </w:t>
      </w:r>
      <w:r w:rsidR="00BC7479" w:rsidRPr="000F5FB3">
        <w:rPr>
          <w:rFonts w:ascii="Lato" w:hAnsi="Lato"/>
          <w:sz w:val="24"/>
          <w:szCs w:val="24"/>
        </w:rPr>
        <w:t>Ortega (</w:t>
      </w:r>
      <w:r w:rsidR="00107E0A" w:rsidRPr="000F5FB3">
        <w:rPr>
          <w:rFonts w:ascii="Lato" w:hAnsi="Lato"/>
          <w:i/>
          <w:iCs/>
          <w:sz w:val="24"/>
          <w:szCs w:val="24"/>
        </w:rPr>
        <w:t>Embassy of Guatemala</w:t>
      </w:r>
      <w:r w:rsidR="006D0CCE" w:rsidRPr="000F5FB3">
        <w:rPr>
          <w:rFonts w:ascii="Lato" w:hAnsi="Lato"/>
          <w:i/>
          <w:iCs/>
          <w:sz w:val="24"/>
          <w:szCs w:val="24"/>
        </w:rPr>
        <w:t xml:space="preserve"> to the Netherlands</w:t>
      </w:r>
      <w:r w:rsidR="00107E0A" w:rsidRPr="000F5FB3">
        <w:rPr>
          <w:rFonts w:ascii="Lato" w:hAnsi="Lato"/>
          <w:sz w:val="24"/>
          <w:szCs w:val="24"/>
        </w:rPr>
        <w:t xml:space="preserve">) </w:t>
      </w:r>
    </w:p>
    <w:p w14:paraId="517D8FB0" w14:textId="381C5107" w:rsidR="006E250C" w:rsidRPr="000F5FB3" w:rsidRDefault="006E250C" w:rsidP="006E250C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</w:r>
      <w:proofErr w:type="spellStart"/>
      <w:r w:rsidR="00107E0A" w:rsidRPr="000F5FB3">
        <w:rPr>
          <w:rFonts w:ascii="Lato" w:hAnsi="Lato"/>
          <w:sz w:val="24"/>
          <w:szCs w:val="24"/>
        </w:rPr>
        <w:t>Aref</w:t>
      </w:r>
      <w:proofErr w:type="spellEnd"/>
      <w:r w:rsidR="00107E0A" w:rsidRPr="000F5FB3">
        <w:rPr>
          <w:rFonts w:ascii="Lato" w:hAnsi="Lato"/>
          <w:sz w:val="24"/>
          <w:szCs w:val="24"/>
        </w:rPr>
        <w:t xml:space="preserve"> Shams</w:t>
      </w:r>
      <w:r w:rsidRPr="000F5FB3">
        <w:rPr>
          <w:rFonts w:ascii="Lato" w:hAnsi="Lato"/>
          <w:sz w:val="24"/>
          <w:szCs w:val="24"/>
        </w:rPr>
        <w:t xml:space="preserve"> (</w:t>
      </w:r>
      <w:r w:rsidR="00107E0A" w:rsidRPr="000F5FB3">
        <w:rPr>
          <w:rFonts w:ascii="Lato" w:hAnsi="Lato"/>
          <w:i/>
          <w:iCs/>
          <w:sz w:val="24"/>
          <w:szCs w:val="24"/>
        </w:rPr>
        <w:t>U</w:t>
      </w:r>
      <w:r w:rsidR="00124059" w:rsidRPr="000F5FB3">
        <w:rPr>
          <w:rFonts w:ascii="Lato" w:hAnsi="Lato"/>
          <w:i/>
          <w:iCs/>
          <w:sz w:val="24"/>
          <w:szCs w:val="24"/>
        </w:rPr>
        <w:t xml:space="preserve">niversity </w:t>
      </w:r>
      <w:r w:rsidR="00107E0A" w:rsidRPr="000F5FB3">
        <w:rPr>
          <w:rFonts w:ascii="Lato" w:hAnsi="Lato"/>
          <w:i/>
          <w:iCs/>
          <w:sz w:val="24"/>
          <w:szCs w:val="24"/>
        </w:rPr>
        <w:t>C</w:t>
      </w:r>
      <w:r w:rsidR="00124059" w:rsidRPr="000F5FB3">
        <w:rPr>
          <w:rFonts w:ascii="Lato" w:hAnsi="Lato"/>
          <w:i/>
          <w:iCs/>
          <w:sz w:val="24"/>
          <w:szCs w:val="24"/>
        </w:rPr>
        <w:t xml:space="preserve">ollege </w:t>
      </w:r>
      <w:r w:rsidR="00107E0A" w:rsidRPr="000F5FB3">
        <w:rPr>
          <w:rFonts w:ascii="Lato" w:hAnsi="Lato"/>
          <w:i/>
          <w:iCs/>
          <w:sz w:val="24"/>
          <w:szCs w:val="24"/>
        </w:rPr>
        <w:t>L</w:t>
      </w:r>
      <w:r w:rsidR="00124059" w:rsidRPr="000F5FB3">
        <w:rPr>
          <w:rFonts w:ascii="Lato" w:hAnsi="Lato"/>
          <w:i/>
          <w:iCs/>
          <w:sz w:val="24"/>
          <w:szCs w:val="24"/>
        </w:rPr>
        <w:t>ondon</w:t>
      </w:r>
      <w:r w:rsidRPr="000F5FB3">
        <w:rPr>
          <w:rFonts w:ascii="Lato" w:hAnsi="Lato"/>
          <w:sz w:val="24"/>
          <w:szCs w:val="24"/>
        </w:rPr>
        <w:t>)</w:t>
      </w:r>
    </w:p>
    <w:p w14:paraId="18446201" w14:textId="756C484B" w:rsidR="00D12462" w:rsidRPr="000F5FB3" w:rsidRDefault="00D12462" w:rsidP="006E250C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</w:r>
      <w:r w:rsidR="00C22EA3" w:rsidRPr="000F5FB3">
        <w:rPr>
          <w:rFonts w:ascii="Lato" w:hAnsi="Lato"/>
          <w:sz w:val="24"/>
          <w:szCs w:val="24"/>
        </w:rPr>
        <w:t>Tiffanie Chan (</w:t>
      </w:r>
      <w:r w:rsidR="00C22EA3" w:rsidRPr="000F5FB3">
        <w:rPr>
          <w:rFonts w:ascii="Lato" w:hAnsi="Lato"/>
          <w:i/>
          <w:iCs/>
          <w:sz w:val="24"/>
          <w:szCs w:val="24"/>
        </w:rPr>
        <w:t>London School of Economics</w:t>
      </w:r>
      <w:r w:rsidR="00C22EA3" w:rsidRPr="000F5FB3">
        <w:rPr>
          <w:rFonts w:ascii="Lato" w:hAnsi="Lato"/>
          <w:sz w:val="24"/>
          <w:szCs w:val="24"/>
        </w:rPr>
        <w:t>)</w:t>
      </w:r>
    </w:p>
    <w:p w14:paraId="15DD554E" w14:textId="77777777" w:rsidR="00107E0A" w:rsidRPr="000F5FB3" w:rsidRDefault="00107E0A" w:rsidP="006E250C">
      <w:pPr>
        <w:ind w:left="2160" w:hanging="2160"/>
        <w:jc w:val="both"/>
        <w:rPr>
          <w:rFonts w:ascii="Lato" w:hAnsi="Lato"/>
          <w:sz w:val="12"/>
          <w:szCs w:val="12"/>
        </w:rPr>
      </w:pPr>
    </w:p>
    <w:p w14:paraId="16CF5461" w14:textId="6FB03E8D" w:rsidR="00107E0A" w:rsidRPr="000F5FB3" w:rsidRDefault="00107E0A" w:rsidP="00107E0A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15:</w:t>
      </w:r>
      <w:r w:rsidR="00922E87" w:rsidRPr="000F5FB3">
        <w:rPr>
          <w:rFonts w:ascii="Lato" w:hAnsi="Lato"/>
          <w:sz w:val="24"/>
          <w:szCs w:val="24"/>
        </w:rPr>
        <w:t>1</w:t>
      </w:r>
      <w:r w:rsidRPr="000F5FB3">
        <w:rPr>
          <w:rFonts w:ascii="Lato" w:hAnsi="Lato"/>
          <w:sz w:val="24"/>
          <w:szCs w:val="24"/>
        </w:rPr>
        <w:t>5 – 15:</w:t>
      </w:r>
      <w:r w:rsidR="00922E87" w:rsidRPr="000F5FB3">
        <w:rPr>
          <w:rFonts w:ascii="Lato" w:hAnsi="Lato"/>
          <w:sz w:val="24"/>
          <w:szCs w:val="24"/>
        </w:rPr>
        <w:t>3</w:t>
      </w:r>
      <w:r w:rsidRPr="000F5FB3">
        <w:rPr>
          <w:rFonts w:ascii="Lato" w:hAnsi="Lato"/>
          <w:sz w:val="24"/>
          <w:szCs w:val="24"/>
        </w:rPr>
        <w:t>5</w:t>
      </w:r>
      <w:r w:rsidRPr="000F5FB3">
        <w:rPr>
          <w:rFonts w:ascii="Lato" w:hAnsi="Lato"/>
          <w:sz w:val="24"/>
          <w:szCs w:val="24"/>
        </w:rPr>
        <w:tab/>
        <w:t xml:space="preserve">Coffee </w:t>
      </w:r>
      <w:r w:rsidR="00567268" w:rsidRPr="000F5FB3">
        <w:rPr>
          <w:rFonts w:ascii="Lato" w:hAnsi="Lato"/>
          <w:sz w:val="24"/>
          <w:szCs w:val="24"/>
        </w:rPr>
        <w:t>b</w:t>
      </w:r>
      <w:r w:rsidRPr="000F5FB3">
        <w:rPr>
          <w:rFonts w:ascii="Lato" w:hAnsi="Lato"/>
          <w:sz w:val="24"/>
          <w:szCs w:val="24"/>
        </w:rPr>
        <w:t>reak</w:t>
      </w:r>
    </w:p>
    <w:p w14:paraId="20FF9C3D" w14:textId="77777777" w:rsidR="004A6996" w:rsidRPr="000F5FB3" w:rsidRDefault="004A6996" w:rsidP="00107E0A">
      <w:pPr>
        <w:jc w:val="both"/>
        <w:rPr>
          <w:rFonts w:ascii="Lato" w:hAnsi="Lato"/>
          <w:sz w:val="12"/>
          <w:szCs w:val="12"/>
        </w:rPr>
      </w:pPr>
    </w:p>
    <w:p w14:paraId="2BF16938" w14:textId="665B0091" w:rsidR="00107E0A" w:rsidRPr="00665E83" w:rsidRDefault="00107E0A" w:rsidP="00107E0A">
      <w:pPr>
        <w:jc w:val="both"/>
        <w:rPr>
          <w:rFonts w:ascii="Lato" w:hAnsi="Lato"/>
          <w:b/>
          <w:bCs/>
          <w:color w:val="002060"/>
        </w:rPr>
      </w:pPr>
      <w:r w:rsidRPr="00665E83">
        <w:rPr>
          <w:rFonts w:ascii="Lato" w:hAnsi="Lato"/>
          <w:b/>
          <w:bCs/>
          <w:color w:val="002060"/>
        </w:rPr>
        <w:t>PANEL 4</w:t>
      </w:r>
      <w:r w:rsidR="009153BF">
        <w:rPr>
          <w:rFonts w:ascii="Lato" w:hAnsi="Lato"/>
          <w:b/>
          <w:bCs/>
          <w:color w:val="002060"/>
        </w:rPr>
        <w:tab/>
      </w:r>
      <w:r w:rsidR="009153BF">
        <w:rPr>
          <w:rFonts w:ascii="Lato" w:hAnsi="Lato"/>
          <w:b/>
          <w:bCs/>
          <w:color w:val="002060"/>
        </w:rPr>
        <w:tab/>
      </w:r>
      <w:r w:rsidRPr="00665E83">
        <w:rPr>
          <w:rFonts w:ascii="Lato" w:hAnsi="Lato"/>
          <w:b/>
          <w:bCs/>
          <w:color w:val="002060"/>
        </w:rPr>
        <w:t>TRADE AND INVESTMENT IN THE ENERGY SECTOR</w:t>
      </w:r>
    </w:p>
    <w:p w14:paraId="5FDC8699" w14:textId="62C1E184" w:rsidR="004A6996" w:rsidRPr="000F5FB3" w:rsidRDefault="004A6996" w:rsidP="004A6996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15:</w:t>
      </w:r>
      <w:r w:rsidR="00922E87" w:rsidRPr="000F5FB3">
        <w:rPr>
          <w:rFonts w:ascii="Lato" w:hAnsi="Lato"/>
          <w:sz w:val="24"/>
          <w:szCs w:val="24"/>
        </w:rPr>
        <w:t>3</w:t>
      </w:r>
      <w:r w:rsidRPr="000F5FB3">
        <w:rPr>
          <w:rFonts w:ascii="Lato" w:hAnsi="Lato"/>
          <w:sz w:val="24"/>
          <w:szCs w:val="24"/>
        </w:rPr>
        <w:t>5 – 16:</w:t>
      </w:r>
      <w:r w:rsidR="00922E87" w:rsidRPr="000F5FB3">
        <w:rPr>
          <w:rFonts w:ascii="Lato" w:hAnsi="Lato"/>
          <w:sz w:val="24"/>
          <w:szCs w:val="24"/>
        </w:rPr>
        <w:t>50</w:t>
      </w:r>
      <w:r w:rsidRPr="000F5FB3">
        <w:rPr>
          <w:rFonts w:ascii="Lato" w:hAnsi="Lato"/>
          <w:sz w:val="24"/>
          <w:szCs w:val="24"/>
        </w:rPr>
        <w:tab/>
      </w:r>
      <w:r w:rsidRPr="000F5FB3">
        <w:rPr>
          <w:rFonts w:ascii="Lato" w:hAnsi="Lato"/>
          <w:i/>
          <w:iCs/>
          <w:sz w:val="24"/>
          <w:szCs w:val="24"/>
        </w:rPr>
        <w:t>Chair</w:t>
      </w:r>
      <w:r w:rsidRPr="000F5FB3">
        <w:rPr>
          <w:rFonts w:ascii="Lato" w:hAnsi="Lato"/>
          <w:sz w:val="24"/>
          <w:szCs w:val="24"/>
        </w:rPr>
        <w:t xml:space="preserve">: </w:t>
      </w:r>
      <w:r w:rsidR="00711D63" w:rsidRPr="000F5FB3">
        <w:rPr>
          <w:rFonts w:ascii="Lato" w:hAnsi="Lato"/>
          <w:sz w:val="24"/>
          <w:szCs w:val="24"/>
        </w:rPr>
        <w:t>Vicente López-</w:t>
      </w:r>
      <w:proofErr w:type="spellStart"/>
      <w:r w:rsidR="00711D63" w:rsidRPr="000F5FB3">
        <w:rPr>
          <w:rFonts w:ascii="Lato" w:hAnsi="Lato"/>
          <w:sz w:val="24"/>
          <w:szCs w:val="24"/>
        </w:rPr>
        <w:t>Ibor</w:t>
      </w:r>
      <w:proofErr w:type="spellEnd"/>
      <w:r w:rsidR="00711D63" w:rsidRPr="000F5FB3">
        <w:rPr>
          <w:rFonts w:ascii="Lato" w:hAnsi="Lato"/>
          <w:sz w:val="24"/>
          <w:szCs w:val="24"/>
        </w:rPr>
        <w:t xml:space="preserve"> Mayor </w:t>
      </w:r>
      <w:r w:rsidR="00D12462" w:rsidRPr="000F5FB3">
        <w:rPr>
          <w:rFonts w:ascii="Lato" w:hAnsi="Lato"/>
          <w:sz w:val="24"/>
          <w:szCs w:val="24"/>
        </w:rPr>
        <w:t>(</w:t>
      </w:r>
      <w:r w:rsidR="00711D63" w:rsidRPr="000F5FB3">
        <w:rPr>
          <w:rFonts w:ascii="Lato" w:hAnsi="Lato"/>
          <w:i/>
          <w:iCs/>
          <w:sz w:val="24"/>
          <w:szCs w:val="24"/>
        </w:rPr>
        <w:t>López-</w:t>
      </w:r>
      <w:proofErr w:type="spellStart"/>
      <w:r w:rsidR="00711D63" w:rsidRPr="000F5FB3">
        <w:rPr>
          <w:rFonts w:ascii="Lato" w:hAnsi="Lato"/>
          <w:i/>
          <w:iCs/>
          <w:sz w:val="24"/>
          <w:szCs w:val="24"/>
        </w:rPr>
        <w:t>Ibor</w:t>
      </w:r>
      <w:proofErr w:type="spellEnd"/>
      <w:r w:rsidR="00711D63" w:rsidRPr="000F5FB3">
        <w:rPr>
          <w:rFonts w:ascii="Lato" w:hAnsi="Lato"/>
          <w:i/>
          <w:iCs/>
          <w:sz w:val="24"/>
          <w:szCs w:val="24"/>
        </w:rPr>
        <w:t xml:space="preserve"> Mayor Abogados &amp; European Federation of Energy Law</w:t>
      </w:r>
      <w:r w:rsidR="00D12462" w:rsidRPr="000F5FB3">
        <w:rPr>
          <w:rFonts w:ascii="Lato" w:hAnsi="Lato"/>
          <w:sz w:val="24"/>
          <w:szCs w:val="24"/>
        </w:rPr>
        <w:t>)</w:t>
      </w:r>
    </w:p>
    <w:p w14:paraId="7658E275" w14:textId="77777777" w:rsidR="004A6996" w:rsidRDefault="004A6996" w:rsidP="004A6996">
      <w:pPr>
        <w:ind w:left="2160" w:hanging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ab/>
        <w:t xml:space="preserve">Jean-Paul </w:t>
      </w:r>
      <w:proofErr w:type="spellStart"/>
      <w:r w:rsidRPr="000F5FB3">
        <w:rPr>
          <w:rFonts w:ascii="Lato" w:hAnsi="Lato"/>
          <w:sz w:val="24"/>
          <w:szCs w:val="24"/>
        </w:rPr>
        <w:t>Dechamps</w:t>
      </w:r>
      <w:proofErr w:type="spellEnd"/>
      <w:r w:rsidRPr="000F5FB3">
        <w:rPr>
          <w:rFonts w:ascii="Lato" w:hAnsi="Lato"/>
          <w:sz w:val="24"/>
          <w:szCs w:val="24"/>
        </w:rPr>
        <w:t xml:space="preserve"> (</w:t>
      </w:r>
      <w:proofErr w:type="spellStart"/>
      <w:r w:rsidRPr="000F5FB3">
        <w:rPr>
          <w:rFonts w:ascii="Lato" w:hAnsi="Lato"/>
          <w:i/>
          <w:iCs/>
          <w:sz w:val="24"/>
          <w:szCs w:val="24"/>
        </w:rPr>
        <w:t>Dechamps</w:t>
      </w:r>
      <w:proofErr w:type="spellEnd"/>
      <w:r w:rsidRPr="000F5FB3">
        <w:rPr>
          <w:rFonts w:ascii="Lato" w:hAnsi="Lato"/>
          <w:i/>
          <w:iCs/>
          <w:sz w:val="24"/>
          <w:szCs w:val="24"/>
        </w:rPr>
        <w:t xml:space="preserve"> International LLP</w:t>
      </w:r>
      <w:r w:rsidRPr="000F5FB3">
        <w:rPr>
          <w:rFonts w:ascii="Lato" w:hAnsi="Lato"/>
          <w:sz w:val="24"/>
          <w:szCs w:val="24"/>
        </w:rPr>
        <w:t>)</w:t>
      </w:r>
    </w:p>
    <w:p w14:paraId="1EFBC8EE" w14:textId="725A988C" w:rsidR="00711D63" w:rsidRPr="000F5FB3" w:rsidRDefault="00711D63" w:rsidP="00711D63">
      <w:pPr>
        <w:ind w:left="2160" w:hanging="216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 w:rsidRPr="000F5FB3">
        <w:rPr>
          <w:rFonts w:ascii="Lato" w:hAnsi="Lato"/>
          <w:sz w:val="24"/>
          <w:szCs w:val="24"/>
        </w:rPr>
        <w:t xml:space="preserve">Amir </w:t>
      </w:r>
      <w:proofErr w:type="spellStart"/>
      <w:r w:rsidRPr="000F5FB3">
        <w:rPr>
          <w:rFonts w:ascii="Lato" w:hAnsi="Lato"/>
          <w:sz w:val="24"/>
          <w:szCs w:val="24"/>
        </w:rPr>
        <w:t>Shafaie</w:t>
      </w:r>
      <w:proofErr w:type="spellEnd"/>
      <w:r w:rsidRPr="000F5FB3">
        <w:rPr>
          <w:rFonts w:ascii="Lato" w:hAnsi="Lato"/>
          <w:sz w:val="24"/>
          <w:szCs w:val="24"/>
        </w:rPr>
        <w:t xml:space="preserve"> (</w:t>
      </w:r>
      <w:r w:rsidRPr="000F5FB3">
        <w:rPr>
          <w:rFonts w:ascii="Lato" w:hAnsi="Lato"/>
          <w:i/>
          <w:iCs/>
          <w:sz w:val="24"/>
          <w:szCs w:val="24"/>
        </w:rPr>
        <w:t>Natural Resource Governance Institute</w:t>
      </w:r>
      <w:r w:rsidRPr="000F5FB3">
        <w:rPr>
          <w:rFonts w:ascii="Lato" w:hAnsi="Lato"/>
          <w:sz w:val="24"/>
          <w:szCs w:val="24"/>
        </w:rPr>
        <w:t xml:space="preserve">) </w:t>
      </w:r>
    </w:p>
    <w:p w14:paraId="0945CD24" w14:textId="5877191E" w:rsidR="004A6996" w:rsidRPr="000F5FB3" w:rsidRDefault="004A6996" w:rsidP="004A6996">
      <w:pPr>
        <w:ind w:left="2160"/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Lorand Bartels (</w:t>
      </w:r>
      <w:r w:rsidR="00C63F99" w:rsidRPr="000F5FB3">
        <w:rPr>
          <w:rFonts w:ascii="Lato" w:hAnsi="Lato"/>
          <w:i/>
          <w:iCs/>
          <w:sz w:val="24"/>
          <w:szCs w:val="24"/>
        </w:rPr>
        <w:t xml:space="preserve">University of </w:t>
      </w:r>
      <w:r w:rsidR="006D0CCE" w:rsidRPr="000F5FB3">
        <w:rPr>
          <w:rFonts w:ascii="Lato" w:hAnsi="Lato"/>
          <w:i/>
          <w:iCs/>
          <w:sz w:val="24"/>
          <w:szCs w:val="24"/>
        </w:rPr>
        <w:t xml:space="preserve">Cambridge </w:t>
      </w:r>
      <w:r w:rsidR="00C63F99" w:rsidRPr="000F5FB3">
        <w:rPr>
          <w:rFonts w:ascii="Lato" w:hAnsi="Lato"/>
          <w:i/>
          <w:iCs/>
          <w:sz w:val="24"/>
          <w:szCs w:val="24"/>
        </w:rPr>
        <w:t>&amp;</w:t>
      </w:r>
      <w:r w:rsidR="006D0CCE" w:rsidRPr="000F5FB3">
        <w:rPr>
          <w:rFonts w:ascii="Lato" w:hAnsi="Lato"/>
          <w:i/>
          <w:iCs/>
          <w:sz w:val="24"/>
          <w:szCs w:val="24"/>
        </w:rPr>
        <w:t xml:space="preserve"> </w:t>
      </w:r>
      <w:r w:rsidRPr="000F5FB3">
        <w:rPr>
          <w:rFonts w:ascii="Lato" w:hAnsi="Lato"/>
          <w:i/>
          <w:iCs/>
          <w:sz w:val="24"/>
          <w:szCs w:val="24"/>
        </w:rPr>
        <w:t>Freshfields</w:t>
      </w:r>
      <w:r w:rsidR="00150864">
        <w:rPr>
          <w:rFonts w:ascii="Lato" w:hAnsi="Lato"/>
          <w:i/>
          <w:iCs/>
          <w:sz w:val="24"/>
          <w:szCs w:val="24"/>
        </w:rPr>
        <w:t xml:space="preserve"> Bruckhaus Deringer</w:t>
      </w:r>
      <w:r w:rsidR="00336A2E" w:rsidRPr="000F5FB3">
        <w:rPr>
          <w:rFonts w:ascii="Lato" w:hAnsi="Lato"/>
          <w:i/>
          <w:iCs/>
          <w:sz w:val="24"/>
          <w:szCs w:val="24"/>
        </w:rPr>
        <w:t xml:space="preserve"> LLP</w:t>
      </w:r>
      <w:r w:rsidRPr="000F5FB3">
        <w:rPr>
          <w:rFonts w:ascii="Lato" w:hAnsi="Lato"/>
          <w:sz w:val="24"/>
          <w:szCs w:val="24"/>
        </w:rPr>
        <w:t>)</w:t>
      </w:r>
    </w:p>
    <w:p w14:paraId="2D8E5F6A" w14:textId="77777777" w:rsidR="00C63F99" w:rsidRPr="00C63F99" w:rsidRDefault="00C63F99" w:rsidP="009D748A">
      <w:pPr>
        <w:ind w:left="2160"/>
        <w:jc w:val="both"/>
        <w:rPr>
          <w:rFonts w:ascii="Lato" w:hAnsi="Lato"/>
          <w:sz w:val="14"/>
          <w:szCs w:val="14"/>
        </w:rPr>
      </w:pPr>
    </w:p>
    <w:p w14:paraId="5283935E" w14:textId="4CD0A28D" w:rsidR="00887E0B" w:rsidRPr="000F5FB3" w:rsidRDefault="004A6996" w:rsidP="004A6996">
      <w:pPr>
        <w:jc w:val="both"/>
        <w:rPr>
          <w:rFonts w:ascii="Lato" w:hAnsi="Lato"/>
          <w:sz w:val="24"/>
          <w:szCs w:val="24"/>
        </w:rPr>
      </w:pPr>
      <w:r w:rsidRPr="000F5FB3">
        <w:rPr>
          <w:rFonts w:ascii="Lato" w:hAnsi="Lato"/>
          <w:sz w:val="24"/>
          <w:szCs w:val="24"/>
        </w:rPr>
        <w:t>16:</w:t>
      </w:r>
      <w:r w:rsidR="00922E87" w:rsidRPr="000F5FB3">
        <w:rPr>
          <w:rFonts w:ascii="Lato" w:hAnsi="Lato"/>
          <w:sz w:val="24"/>
          <w:szCs w:val="24"/>
        </w:rPr>
        <w:t>50</w:t>
      </w:r>
      <w:r w:rsidRPr="000F5FB3">
        <w:rPr>
          <w:rFonts w:ascii="Lato" w:hAnsi="Lato"/>
          <w:sz w:val="24"/>
          <w:szCs w:val="24"/>
        </w:rPr>
        <w:t xml:space="preserve"> – 17:00</w:t>
      </w:r>
      <w:r w:rsidRPr="000F5FB3">
        <w:rPr>
          <w:rFonts w:ascii="Lato" w:hAnsi="Lato"/>
          <w:sz w:val="24"/>
          <w:szCs w:val="24"/>
        </w:rPr>
        <w:tab/>
        <w:t>Closing remarks</w:t>
      </w:r>
      <w:r w:rsidR="00887E0B">
        <w:fldChar w:fldCharType="begin"/>
      </w:r>
      <w:r w:rsidR="00887E0B">
        <w:instrText xml:space="preserve"> INCLUDEPICTURE "/Users/tibisay/Library/Group Containers/UBF8T346G9.ms/WebArchiveCopyPasteTempFiles/com.microsoft.Word/Picture-this-Energy-transition.ashx" \* MERGEFORMATINET </w:instrText>
      </w:r>
      <w:r w:rsidR="00000000">
        <w:fldChar w:fldCharType="separate"/>
      </w:r>
      <w:r w:rsidR="00887E0B">
        <w:fldChar w:fldCharType="end"/>
      </w:r>
    </w:p>
    <w:sectPr w:rsidR="00887E0B" w:rsidRPr="000F5FB3" w:rsidSect="000F5FB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94" w:right="1493" w:bottom="1310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965B9" w14:textId="77777777" w:rsidR="004D3B3B" w:rsidRDefault="004D3B3B">
      <w:pPr>
        <w:spacing w:after="0" w:line="240" w:lineRule="auto"/>
      </w:pPr>
      <w:r>
        <w:separator/>
      </w:r>
    </w:p>
  </w:endnote>
  <w:endnote w:type="continuationSeparator" w:id="0">
    <w:p w14:paraId="0587F7CC" w14:textId="77777777" w:rsidR="004D3B3B" w:rsidRDefault="004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7083053"/>
      <w:docPartObj>
        <w:docPartGallery w:val="Page Numbers (Bottom of Page)"/>
        <w:docPartUnique/>
      </w:docPartObj>
    </w:sdtPr>
    <w:sdtContent>
      <w:p w14:paraId="3877EC2B" w14:textId="425C2364" w:rsidR="004A6996" w:rsidRDefault="004A6996" w:rsidP="00D963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F00322" w14:textId="77777777" w:rsidR="004A6996" w:rsidRDefault="004A6996" w:rsidP="004A69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97486390"/>
      <w:docPartObj>
        <w:docPartGallery w:val="Page Numbers (Bottom of Page)"/>
        <w:docPartUnique/>
      </w:docPartObj>
    </w:sdtPr>
    <w:sdtEndPr>
      <w:rPr>
        <w:rStyle w:val="PageNumber"/>
        <w:rFonts w:ascii="Lato" w:hAnsi="Lato"/>
        <w:sz w:val="24"/>
        <w:szCs w:val="24"/>
      </w:rPr>
    </w:sdtEndPr>
    <w:sdtContent>
      <w:p w14:paraId="3445082B" w14:textId="69C57D96" w:rsidR="004A6996" w:rsidRPr="004A6996" w:rsidRDefault="004A6996" w:rsidP="00D963A8">
        <w:pPr>
          <w:pStyle w:val="Footer"/>
          <w:framePr w:wrap="none" w:vAnchor="text" w:hAnchor="margin" w:xAlign="right" w:y="1"/>
          <w:rPr>
            <w:rStyle w:val="PageNumber"/>
            <w:rFonts w:ascii="Lato" w:hAnsi="Lato"/>
            <w:sz w:val="24"/>
            <w:szCs w:val="24"/>
          </w:rPr>
        </w:pPr>
        <w:r w:rsidRPr="004A6996">
          <w:rPr>
            <w:rStyle w:val="PageNumber"/>
            <w:rFonts w:ascii="Lato" w:hAnsi="Lato"/>
            <w:sz w:val="24"/>
            <w:szCs w:val="24"/>
          </w:rPr>
          <w:fldChar w:fldCharType="begin"/>
        </w:r>
        <w:r w:rsidRPr="004A6996">
          <w:rPr>
            <w:rStyle w:val="PageNumber"/>
            <w:rFonts w:ascii="Lato" w:hAnsi="Lato"/>
            <w:sz w:val="24"/>
            <w:szCs w:val="24"/>
          </w:rPr>
          <w:instrText xml:space="preserve"> PAGE </w:instrText>
        </w:r>
        <w:r w:rsidRPr="004A6996">
          <w:rPr>
            <w:rStyle w:val="PageNumber"/>
            <w:rFonts w:ascii="Lato" w:hAnsi="Lato"/>
            <w:sz w:val="24"/>
            <w:szCs w:val="24"/>
          </w:rPr>
          <w:fldChar w:fldCharType="separate"/>
        </w:r>
        <w:r w:rsidRPr="004A6996">
          <w:rPr>
            <w:rStyle w:val="PageNumber"/>
            <w:rFonts w:ascii="Lato" w:hAnsi="Lato"/>
            <w:noProof/>
            <w:sz w:val="24"/>
            <w:szCs w:val="24"/>
          </w:rPr>
          <w:t>3</w:t>
        </w:r>
        <w:r w:rsidRPr="004A6996">
          <w:rPr>
            <w:rStyle w:val="PageNumber"/>
            <w:rFonts w:ascii="Lato" w:hAnsi="Lato"/>
            <w:sz w:val="24"/>
            <w:szCs w:val="24"/>
          </w:rPr>
          <w:fldChar w:fldCharType="end"/>
        </w:r>
      </w:p>
    </w:sdtContent>
  </w:sdt>
  <w:p w14:paraId="1916AFBF" w14:textId="59394C9A" w:rsidR="00892872" w:rsidRPr="005D25A9" w:rsidRDefault="00892872" w:rsidP="004A6996">
    <w:pPr>
      <w:pStyle w:val="Footer"/>
      <w:ind w:right="360"/>
      <w:rPr>
        <w:rFonts w:ascii="Lato" w:hAnsi="Lat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0"/>
      <w:gridCol w:w="2750"/>
      <w:gridCol w:w="2750"/>
    </w:tblGrid>
    <w:tr w:rsidR="31D8C96D" w14:paraId="31059221" w14:textId="77777777" w:rsidTr="31D8C96D">
      <w:trPr>
        <w:trHeight w:val="300"/>
      </w:trPr>
      <w:tc>
        <w:tcPr>
          <w:tcW w:w="2750" w:type="dxa"/>
        </w:tcPr>
        <w:p w14:paraId="4A0E407D" w14:textId="49BBAF65" w:rsidR="31D8C96D" w:rsidRDefault="31D8C96D" w:rsidP="31D8C96D">
          <w:pPr>
            <w:pStyle w:val="Header"/>
            <w:ind w:left="-115"/>
          </w:pPr>
        </w:p>
      </w:tc>
      <w:tc>
        <w:tcPr>
          <w:tcW w:w="2750" w:type="dxa"/>
        </w:tcPr>
        <w:p w14:paraId="007A7D7B" w14:textId="3A043E9E" w:rsidR="31D8C96D" w:rsidRDefault="31D8C96D" w:rsidP="31D8C96D">
          <w:pPr>
            <w:pStyle w:val="Header"/>
            <w:jc w:val="center"/>
          </w:pPr>
        </w:p>
      </w:tc>
      <w:tc>
        <w:tcPr>
          <w:tcW w:w="2750" w:type="dxa"/>
        </w:tcPr>
        <w:p w14:paraId="01767DB7" w14:textId="08B0CCD4" w:rsidR="31D8C96D" w:rsidRDefault="31D8C96D" w:rsidP="31D8C96D">
          <w:pPr>
            <w:pStyle w:val="Header"/>
            <w:ind w:right="-115"/>
            <w:jc w:val="right"/>
          </w:pPr>
        </w:p>
      </w:tc>
    </w:tr>
  </w:tbl>
  <w:p w14:paraId="6A6B4A20" w14:textId="6584C7FA" w:rsidR="31D8C96D" w:rsidRDefault="31D8C96D" w:rsidP="31D8C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8F37" w14:textId="77777777" w:rsidR="004D3B3B" w:rsidRDefault="004D3B3B">
      <w:pPr>
        <w:spacing w:after="0" w:line="240" w:lineRule="auto"/>
      </w:pPr>
      <w:r>
        <w:separator/>
      </w:r>
    </w:p>
  </w:footnote>
  <w:footnote w:type="continuationSeparator" w:id="0">
    <w:p w14:paraId="56E5D64A" w14:textId="77777777" w:rsidR="004D3B3B" w:rsidRDefault="004D3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0"/>
      <w:gridCol w:w="2750"/>
      <w:gridCol w:w="2750"/>
    </w:tblGrid>
    <w:tr w:rsidR="31D8C96D" w14:paraId="6C6E3F3A" w14:textId="77777777" w:rsidTr="31D8C96D">
      <w:trPr>
        <w:trHeight w:val="300"/>
      </w:trPr>
      <w:tc>
        <w:tcPr>
          <w:tcW w:w="2750" w:type="dxa"/>
        </w:tcPr>
        <w:p w14:paraId="71098898" w14:textId="073FAD35" w:rsidR="31D8C96D" w:rsidRDefault="31D8C96D" w:rsidP="31D8C96D">
          <w:pPr>
            <w:pStyle w:val="Header"/>
            <w:ind w:left="-115"/>
          </w:pPr>
        </w:p>
      </w:tc>
      <w:tc>
        <w:tcPr>
          <w:tcW w:w="2750" w:type="dxa"/>
        </w:tcPr>
        <w:p w14:paraId="0DDD588D" w14:textId="4F8E6465" w:rsidR="31D8C96D" w:rsidRDefault="31D8C96D" w:rsidP="31D8C96D">
          <w:pPr>
            <w:pStyle w:val="Header"/>
            <w:jc w:val="center"/>
          </w:pPr>
        </w:p>
      </w:tc>
      <w:tc>
        <w:tcPr>
          <w:tcW w:w="2750" w:type="dxa"/>
        </w:tcPr>
        <w:p w14:paraId="135886EC" w14:textId="464BD0F8" w:rsidR="31D8C96D" w:rsidRDefault="31D8C96D" w:rsidP="31D8C96D">
          <w:pPr>
            <w:pStyle w:val="Header"/>
            <w:ind w:right="-115"/>
            <w:jc w:val="right"/>
          </w:pPr>
        </w:p>
      </w:tc>
    </w:tr>
  </w:tbl>
  <w:p w14:paraId="65A38968" w14:textId="6E99A139" w:rsidR="31D8C96D" w:rsidRDefault="31D8C96D" w:rsidP="31D8C9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50"/>
      <w:gridCol w:w="2750"/>
      <w:gridCol w:w="2750"/>
    </w:tblGrid>
    <w:tr w:rsidR="31D8C96D" w14:paraId="7E2DD92B" w14:textId="77777777" w:rsidTr="00CC074E">
      <w:trPr>
        <w:trHeight w:val="1258"/>
      </w:trPr>
      <w:tc>
        <w:tcPr>
          <w:tcW w:w="2750" w:type="dxa"/>
        </w:tcPr>
        <w:p w14:paraId="44C73C80" w14:textId="0741FE1F" w:rsidR="31D8C96D" w:rsidRDefault="31D8C96D" w:rsidP="31D8C96D">
          <w:pPr>
            <w:pStyle w:val="Header"/>
            <w:ind w:left="-115"/>
          </w:pPr>
        </w:p>
      </w:tc>
      <w:tc>
        <w:tcPr>
          <w:tcW w:w="2750" w:type="dxa"/>
        </w:tcPr>
        <w:p w14:paraId="298EDE31" w14:textId="59578C0E" w:rsidR="31D8C96D" w:rsidRDefault="31D8C96D" w:rsidP="31D8C96D">
          <w:pPr>
            <w:pStyle w:val="Header"/>
            <w:jc w:val="center"/>
          </w:pPr>
        </w:p>
      </w:tc>
      <w:tc>
        <w:tcPr>
          <w:tcW w:w="2750" w:type="dxa"/>
        </w:tcPr>
        <w:p w14:paraId="42B0AA12" w14:textId="77777777" w:rsidR="31D8C96D" w:rsidRDefault="31D8C96D" w:rsidP="31D8C96D">
          <w:pPr>
            <w:pStyle w:val="Header"/>
            <w:ind w:right="-115"/>
            <w:jc w:val="right"/>
          </w:pPr>
        </w:p>
        <w:p w14:paraId="63F12ADA" w14:textId="298575D5" w:rsidR="00CC074E" w:rsidRDefault="00CC074E" w:rsidP="31D8C96D">
          <w:pPr>
            <w:pStyle w:val="Header"/>
            <w:ind w:right="-115"/>
            <w:jc w:val="right"/>
          </w:pPr>
        </w:p>
      </w:tc>
    </w:tr>
  </w:tbl>
  <w:p w14:paraId="0BF6CBB1" w14:textId="296D24F2" w:rsidR="31D8C96D" w:rsidRDefault="31D8C96D" w:rsidP="31D8C9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245FE2"/>
    <w:multiLevelType w:val="hybridMultilevel"/>
    <w:tmpl w:val="73340550"/>
    <w:lvl w:ilvl="0" w:tplc="E4C873D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729647">
    <w:abstractNumId w:val="9"/>
  </w:num>
  <w:num w:numId="2" w16cid:durableId="1792746884">
    <w:abstractNumId w:val="7"/>
  </w:num>
  <w:num w:numId="3" w16cid:durableId="463087965">
    <w:abstractNumId w:val="6"/>
  </w:num>
  <w:num w:numId="4" w16cid:durableId="744688677">
    <w:abstractNumId w:val="5"/>
  </w:num>
  <w:num w:numId="5" w16cid:durableId="528421007">
    <w:abstractNumId w:val="4"/>
  </w:num>
  <w:num w:numId="6" w16cid:durableId="1302534620">
    <w:abstractNumId w:val="8"/>
  </w:num>
  <w:num w:numId="7" w16cid:durableId="1336615487">
    <w:abstractNumId w:val="3"/>
  </w:num>
  <w:num w:numId="8" w16cid:durableId="863251781">
    <w:abstractNumId w:val="2"/>
  </w:num>
  <w:num w:numId="9" w16cid:durableId="1083650029">
    <w:abstractNumId w:val="1"/>
  </w:num>
  <w:num w:numId="10" w16cid:durableId="846486117">
    <w:abstractNumId w:val="0"/>
  </w:num>
  <w:num w:numId="11" w16cid:durableId="1635479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UyNDQxNjA3MTMwMTdT0lEKTi0uzszPAykwqgUABGnQIiwAAAA="/>
  </w:docVars>
  <w:rsids>
    <w:rsidRoot w:val="004E5B73"/>
    <w:rsid w:val="00010741"/>
    <w:rsid w:val="00016972"/>
    <w:rsid w:val="0001709D"/>
    <w:rsid w:val="000702B5"/>
    <w:rsid w:val="000C0ACA"/>
    <w:rsid w:val="000F5FB3"/>
    <w:rsid w:val="00107E0A"/>
    <w:rsid w:val="00124059"/>
    <w:rsid w:val="00150864"/>
    <w:rsid w:val="0015703A"/>
    <w:rsid w:val="0016727D"/>
    <w:rsid w:val="0017647F"/>
    <w:rsid w:val="001D06BF"/>
    <w:rsid w:val="001D21C7"/>
    <w:rsid w:val="001D26AC"/>
    <w:rsid w:val="001D3C9E"/>
    <w:rsid w:val="001F737B"/>
    <w:rsid w:val="002074A7"/>
    <w:rsid w:val="00255380"/>
    <w:rsid w:val="002573F0"/>
    <w:rsid w:val="0027607D"/>
    <w:rsid w:val="002B06BE"/>
    <w:rsid w:val="002B57EC"/>
    <w:rsid w:val="002D5789"/>
    <w:rsid w:val="002D6DAB"/>
    <w:rsid w:val="00336A2E"/>
    <w:rsid w:val="00367AAF"/>
    <w:rsid w:val="003B7350"/>
    <w:rsid w:val="003B7BF6"/>
    <w:rsid w:val="003D33E1"/>
    <w:rsid w:val="003D7807"/>
    <w:rsid w:val="003E054E"/>
    <w:rsid w:val="003E0C23"/>
    <w:rsid w:val="0045550E"/>
    <w:rsid w:val="00480C93"/>
    <w:rsid w:val="004A6996"/>
    <w:rsid w:val="004D3B3B"/>
    <w:rsid w:val="004E5B73"/>
    <w:rsid w:val="00531A40"/>
    <w:rsid w:val="00567268"/>
    <w:rsid w:val="00571DCB"/>
    <w:rsid w:val="0057668C"/>
    <w:rsid w:val="00592557"/>
    <w:rsid w:val="005B22BA"/>
    <w:rsid w:val="005D19C7"/>
    <w:rsid w:val="005D25A9"/>
    <w:rsid w:val="005E734A"/>
    <w:rsid w:val="00601BF1"/>
    <w:rsid w:val="00614C90"/>
    <w:rsid w:val="006449B2"/>
    <w:rsid w:val="006648D4"/>
    <w:rsid w:val="00665E83"/>
    <w:rsid w:val="00671102"/>
    <w:rsid w:val="00694261"/>
    <w:rsid w:val="006A2866"/>
    <w:rsid w:val="006D0CCE"/>
    <w:rsid w:val="006E250C"/>
    <w:rsid w:val="00710165"/>
    <w:rsid w:val="00711D63"/>
    <w:rsid w:val="00716F2A"/>
    <w:rsid w:val="0076257B"/>
    <w:rsid w:val="007634A6"/>
    <w:rsid w:val="00883775"/>
    <w:rsid w:val="00887E0B"/>
    <w:rsid w:val="00892872"/>
    <w:rsid w:val="008A5F99"/>
    <w:rsid w:val="008B03BE"/>
    <w:rsid w:val="008C743F"/>
    <w:rsid w:val="008F291D"/>
    <w:rsid w:val="009153BF"/>
    <w:rsid w:val="00922E87"/>
    <w:rsid w:val="00934334"/>
    <w:rsid w:val="009628F7"/>
    <w:rsid w:val="00996A06"/>
    <w:rsid w:val="009A1D06"/>
    <w:rsid w:val="009D61C0"/>
    <w:rsid w:val="009D748A"/>
    <w:rsid w:val="00A201B4"/>
    <w:rsid w:val="00AA5D2F"/>
    <w:rsid w:val="00B10142"/>
    <w:rsid w:val="00B3204C"/>
    <w:rsid w:val="00B54E8D"/>
    <w:rsid w:val="00BC7479"/>
    <w:rsid w:val="00C22EA3"/>
    <w:rsid w:val="00C264A4"/>
    <w:rsid w:val="00C31A05"/>
    <w:rsid w:val="00C31F40"/>
    <w:rsid w:val="00C4215B"/>
    <w:rsid w:val="00C50811"/>
    <w:rsid w:val="00C63F99"/>
    <w:rsid w:val="00C66D3D"/>
    <w:rsid w:val="00CB3082"/>
    <w:rsid w:val="00CC074E"/>
    <w:rsid w:val="00CD7A6A"/>
    <w:rsid w:val="00D12462"/>
    <w:rsid w:val="00D75662"/>
    <w:rsid w:val="00DD30CC"/>
    <w:rsid w:val="00DE1CAB"/>
    <w:rsid w:val="00DF5702"/>
    <w:rsid w:val="00E465D2"/>
    <w:rsid w:val="00E50F7E"/>
    <w:rsid w:val="00E95F36"/>
    <w:rsid w:val="00EE27F0"/>
    <w:rsid w:val="00F200AB"/>
    <w:rsid w:val="00F24117"/>
    <w:rsid w:val="00F61603"/>
    <w:rsid w:val="00F65891"/>
    <w:rsid w:val="00F970C8"/>
    <w:rsid w:val="00FA35DC"/>
    <w:rsid w:val="00FA7A89"/>
    <w:rsid w:val="0435C09C"/>
    <w:rsid w:val="07925AA2"/>
    <w:rsid w:val="110124A1"/>
    <w:rsid w:val="1767EBDB"/>
    <w:rsid w:val="258D749E"/>
    <w:rsid w:val="271C81DC"/>
    <w:rsid w:val="2A177CE5"/>
    <w:rsid w:val="2B4484E0"/>
    <w:rsid w:val="30114FEA"/>
    <w:rsid w:val="30A2C49D"/>
    <w:rsid w:val="31D8C96D"/>
    <w:rsid w:val="36DC2D6A"/>
    <w:rsid w:val="38E326B0"/>
    <w:rsid w:val="41E9509B"/>
    <w:rsid w:val="445E73E8"/>
    <w:rsid w:val="44F0FE1E"/>
    <w:rsid w:val="47D2AD46"/>
    <w:rsid w:val="50432694"/>
    <w:rsid w:val="532FDC1A"/>
    <w:rsid w:val="55CDE7BE"/>
    <w:rsid w:val="5E75DB6B"/>
    <w:rsid w:val="60C83307"/>
    <w:rsid w:val="63F94782"/>
    <w:rsid w:val="6427673F"/>
    <w:rsid w:val="71C04F97"/>
    <w:rsid w:val="747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46354"/>
  <w15:chartTrackingRefBased/>
  <w15:docId w15:val="{4C074266-BD42-3245-880D-436BA6F1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ListParagraph">
    <w:name w:val="List Paragraph"/>
    <w:basedOn w:val="Normal"/>
    <w:uiPriority w:val="34"/>
    <w:unhideWhenUsed/>
    <w:qFormat/>
    <w:rsid w:val="004E5B7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4A6996"/>
  </w:style>
  <w:style w:type="paragraph" w:styleId="NormalWeb">
    <w:name w:val="Normal (Web)"/>
    <w:basedOn w:val="Normal"/>
    <w:uiPriority w:val="99"/>
    <w:semiHidden/>
    <w:unhideWhenUsed/>
    <w:rsid w:val="006A2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255380"/>
    <w:rPr>
      <w:color w:val="36A3B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it.ly/3sJ1OVF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DocumentTypeTaxHTField0 xmlns="http://schemas.microsoft.com/sharepoint/v3">
      <Terms xmlns="http://schemas.microsoft.com/office/infopath/2007/PartnerControls"/>
    </QMULDocumentTypeTaxHTField0>
    <lcf76f155ced4ddcb4097134ff3c332f xmlns="ac6da30c-bf65-4e01-bb91-790d7248ff33">
      <Terms xmlns="http://schemas.microsoft.com/office/infopath/2007/PartnerControls"/>
    </lcf76f155ced4ddcb4097134ff3c332f>
    <TaxCatchAll xmlns="d5efd484-15aa-41a0-83f6-0646502cb6d6">
      <Value>1</Value>
    </TaxCatchAll>
    <TaxKeywordTaxHTField xmlns="d5efd484-15aa-41a0-83f6-0646502cb6d6">
      <Terms xmlns="http://schemas.microsoft.com/office/infopath/2007/PartnerControls"/>
    </TaxKeywordTaxHTField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QMULDepartmentTaxHTField0 xmlns="http://schemas.microsoft.com/sharepoint/v3">
      <Terms xmlns="http://schemas.microsoft.com/office/infopath/2007/PartnerControls"/>
    </QMULDepartmentTaxHTField0>
    <QMULSchoolTaxHTField0 xmlns="http://schemas.microsoft.com/sharepoint/v3">
      <Terms xmlns="http://schemas.microsoft.com/office/infopath/2007/PartnerControls"/>
    </QMULSchoolTaxHTField0>
    <QMULDocumentStatusTaxHTField0 xmlns="http://schemas.microsoft.com/sharepoint/v3">
      <Terms xmlns="http://schemas.microsoft.com/office/infopath/2007/PartnerControls"/>
    </QMULDocumentStatusTaxHTField0>
    <QMULLocationTaxHTField0 xmlns="http://schemas.microsoft.com/sharepoint/v3">
      <Terms xmlns="http://schemas.microsoft.com/office/infopath/2007/PartnerControls"/>
    </QMULLocation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AcademicYear xmlns="http://schemas.microsoft.com/sharepoint/v3" xsi:nil="true"/>
    <QMULProject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F8ACE3237B282843B207BF554D6D65AF" ma:contentTypeVersion="38" ma:contentTypeDescription="" ma:contentTypeScope="" ma:versionID="4751663b59da343aa26c3ba2bca12622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014cc03e-fd8b-47d3-9c34-f0dfe17d1a00" xmlns:ns4="ac6da30c-bf65-4e01-bb91-790d7248ff33" targetNamespace="http://schemas.microsoft.com/office/2006/metadata/properties" ma:root="true" ma:fieldsID="7d8814238670e0d2d965487bb26be0fc" ns1:_="" ns2:_="" ns3:_="" ns4:_="">
    <xsd:import namespace="http://schemas.microsoft.com/sharepoint/v3"/>
    <xsd:import namespace="d5efd484-15aa-41a0-83f6-0646502cb6d6"/>
    <xsd:import namespace="014cc03e-fd8b-47d3-9c34-f0dfe17d1a00"/>
    <xsd:import namespace="ac6da30c-bf65-4e01-bb91-790d7248ff33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bf0c21cc-3d17-4815-879d-c896c58e7859}" ma:internalName="TaxCatchAll" ma:showField="CatchAllData" ma:web="014cc03e-fd8b-47d3-9c34-f0dfe17d1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bf0c21cc-3d17-4815-879d-c896c58e7859}" ma:internalName="TaxCatchAllLabel" ma:readOnly="true" ma:showField="CatchAllDataLabel" ma:web="014cc03e-fd8b-47d3-9c34-f0dfe17d1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c03e-fd8b-47d3-9c34-f0dfe17d1a00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da30c-bf65-4e01-bb91-790d7248f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E799B-C034-427D-BC86-16462001FFE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E47A30A-3149-42E8-9B63-2E5E619BD9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da30c-bf65-4e01-bb91-790d7248ff33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B333DE02-DE97-4B2D-8CD1-EA9A272841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0ACA2-AAAD-4EC6-B652-248464362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014cc03e-fd8b-47d3-9c34-f0dfe17d1a00"/>
    <ds:schemaRef ds:uri="ac6da30c-bf65-4e01-bb91-790d7248f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Tibisay Morgandi</cp:lastModifiedBy>
  <cp:revision>4</cp:revision>
  <dcterms:created xsi:type="dcterms:W3CDTF">2023-11-24T13:52:00Z</dcterms:created>
  <dcterms:modified xsi:type="dcterms:W3CDTF">2023-11-24T13:57:00Z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  <property fmtid="{D5CDD505-2E9C-101B-9397-08002B2CF9AE}" pid="3" name="GrammarlyDocumentId">
    <vt:lpwstr>0feb850de82e3aba905e6defeb6c7ec2f17fc96e32bf8207aa336f6e13fb045d</vt:lpwstr>
  </property>
  <property fmtid="{D5CDD505-2E9C-101B-9397-08002B2CF9AE}" pid="4" name="TaxKeyword">
    <vt:lpwstr/>
  </property>
  <property fmtid="{D5CDD505-2E9C-101B-9397-08002B2CF9AE}" pid="5" name="QMULDocumentStatus">
    <vt:lpwstr/>
  </property>
  <property fmtid="{D5CDD505-2E9C-101B-9397-08002B2CF9AE}" pid="6" name="MediaServiceImageTags">
    <vt:lpwstr/>
  </property>
  <property fmtid="{D5CDD505-2E9C-101B-9397-08002B2CF9AE}" pid="7" name="QMULInformationClassification">
    <vt:lpwstr>1;#Protect|9124d8d9-0c1c-41e9-aa14-aba001e9a028</vt:lpwstr>
  </property>
  <property fmtid="{D5CDD505-2E9C-101B-9397-08002B2CF9AE}" pid="8" name="ContentTypeId">
    <vt:lpwstr>0x0101005EA864BF41DF8A41860E925F5B29BCF500F8ACE3237B282843B207BF554D6D65AF</vt:lpwstr>
  </property>
  <property fmtid="{D5CDD505-2E9C-101B-9397-08002B2CF9AE}" pid="9" name="QMULLocation">
    <vt:lpwstr/>
  </property>
  <property fmtid="{D5CDD505-2E9C-101B-9397-08002B2CF9AE}" pid="10" name="QMULDocumentType">
    <vt:lpwstr/>
  </property>
  <property fmtid="{D5CDD505-2E9C-101B-9397-08002B2CF9AE}" pid="11" name="QMULDepartment">
    <vt:lpwstr/>
  </property>
  <property fmtid="{D5CDD505-2E9C-101B-9397-08002B2CF9AE}" pid="12" name="QMULSchool">
    <vt:lpwstr/>
  </property>
</Properties>
</file>